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199" w:rsidRPr="00CC73D1" w:rsidRDefault="003C6199" w:rsidP="00E071ED">
      <w:pPr>
        <w:jc w:val="center"/>
        <w:rPr>
          <w:rFonts w:ascii="宋体"/>
          <w:b/>
          <w:sz w:val="24"/>
          <w:szCs w:val="24"/>
        </w:rPr>
      </w:pPr>
      <w:r w:rsidRPr="00CC73D1">
        <w:rPr>
          <w:rFonts w:ascii="宋体" w:hAnsi="宋体" w:hint="eastAsia"/>
          <w:b/>
          <w:sz w:val="24"/>
          <w:szCs w:val="24"/>
        </w:rPr>
        <w:t>戏剧艺术</w:t>
      </w:r>
      <w:r w:rsidRPr="00CC73D1">
        <w:rPr>
          <w:rFonts w:ascii="宋体" w:hAnsi="宋体"/>
          <w:b/>
          <w:sz w:val="24"/>
          <w:szCs w:val="24"/>
        </w:rPr>
        <w:t>2014</w:t>
      </w:r>
      <w:r w:rsidRPr="00CC73D1">
        <w:rPr>
          <w:rFonts w:ascii="宋体" w:hAnsi="宋体" w:hint="eastAsia"/>
          <w:b/>
          <w:sz w:val="24"/>
          <w:szCs w:val="24"/>
        </w:rPr>
        <w:t>年第五期目录</w:t>
      </w:r>
    </w:p>
    <w:p w:rsidR="003C6199" w:rsidRDefault="003C6199" w:rsidP="00B50D0C">
      <w:pPr>
        <w:rPr>
          <w:b/>
        </w:rPr>
      </w:pPr>
    </w:p>
    <w:p w:rsidR="003C6199" w:rsidRPr="00633EE4" w:rsidRDefault="003C6199" w:rsidP="00B50D0C">
      <w:pPr>
        <w:rPr>
          <w:b/>
          <w:sz w:val="24"/>
          <w:szCs w:val="24"/>
        </w:rPr>
      </w:pPr>
      <w:r w:rsidRPr="00633EE4">
        <w:rPr>
          <w:rFonts w:hint="eastAsia"/>
          <w:b/>
          <w:sz w:val="24"/>
          <w:szCs w:val="24"/>
        </w:rPr>
        <w:t>莎士比亚研究</w:t>
      </w:r>
    </w:p>
    <w:p w:rsidR="003C6199" w:rsidRDefault="003C6199" w:rsidP="00B50D0C">
      <w:pPr>
        <w:rPr>
          <w:b/>
        </w:rPr>
      </w:pPr>
    </w:p>
    <w:p w:rsidR="003C6199" w:rsidRPr="00CC73D1" w:rsidRDefault="003C6199" w:rsidP="00B50D0C">
      <w:pPr>
        <w:rPr>
          <w:rFonts w:ascii="黑体" w:eastAsia="黑体"/>
          <w:szCs w:val="21"/>
        </w:rPr>
      </w:pPr>
      <w:r>
        <w:rPr>
          <w:rFonts w:ascii="黑体" w:eastAsia="黑体" w:hint="eastAsia"/>
          <w:szCs w:val="21"/>
        </w:rPr>
        <w:t>磁石还是铅坠：莎士比亚在新西兰国际艺术节是如何“定义”的</w:t>
      </w:r>
      <w:r>
        <w:rPr>
          <w:rFonts w:ascii="黑体" w:eastAsia="黑体"/>
          <w:szCs w:val="21"/>
        </w:rPr>
        <w:t xml:space="preserve"> </w:t>
      </w:r>
      <w:r w:rsidRPr="0088708B">
        <w:rPr>
          <w:rFonts w:ascii="黑体" w:eastAsia="黑体" w:hint="eastAsia"/>
          <w:sz w:val="18"/>
          <w:szCs w:val="18"/>
        </w:rPr>
        <w:t>【新西兰】</w:t>
      </w:r>
      <w:r w:rsidRPr="00CC73D1">
        <w:rPr>
          <w:rFonts w:ascii="黑体" w:eastAsia="黑体" w:hint="eastAsia"/>
          <w:szCs w:val="21"/>
        </w:rPr>
        <w:t>詹姆斯·麦金农</w:t>
      </w:r>
    </w:p>
    <w:p w:rsidR="003C6199" w:rsidRPr="00196E25" w:rsidRDefault="003C6199" w:rsidP="00B50D0C">
      <w:pPr>
        <w:rPr>
          <w:b/>
          <w:szCs w:val="21"/>
        </w:rPr>
      </w:pPr>
    </w:p>
    <w:p w:rsidR="003C6199" w:rsidRPr="00196E25" w:rsidRDefault="003C6199" w:rsidP="00196E25">
      <w:pPr>
        <w:rPr>
          <w:sz w:val="18"/>
          <w:szCs w:val="18"/>
        </w:rPr>
      </w:pPr>
      <w:r w:rsidRPr="00196E25">
        <w:rPr>
          <w:rFonts w:hint="eastAsia"/>
          <w:b/>
          <w:sz w:val="18"/>
          <w:szCs w:val="18"/>
        </w:rPr>
        <w:t>内容摘要：</w:t>
      </w:r>
      <w:r w:rsidRPr="00CC73D1">
        <w:rPr>
          <w:rFonts w:ascii="宋体" w:hAnsi="宋体" w:hint="eastAsia"/>
          <w:sz w:val="18"/>
          <w:szCs w:val="18"/>
        </w:rPr>
        <w:t>莎士比亚戏剧曾经像文化罗盘一样，指引着数代“白人”殖民者，为他们指明文化和地理的“北方”</w:t>
      </w:r>
      <w:r w:rsidRPr="00CC73D1">
        <w:rPr>
          <w:rFonts w:ascii="宋体" w:hAnsi="宋体"/>
          <w:sz w:val="18"/>
          <w:szCs w:val="18"/>
        </w:rPr>
        <w:t>——</w:t>
      </w:r>
      <w:r w:rsidRPr="00CC73D1">
        <w:rPr>
          <w:rFonts w:ascii="宋体" w:hAnsi="宋体" w:hint="eastAsia"/>
          <w:sz w:val="18"/>
          <w:szCs w:val="18"/>
        </w:rPr>
        <w:t>英国。然而，莎士比亚又将如何指引当代新西兰人（纽西兰白人，毛利人及其他人种）在</w:t>
      </w:r>
      <w:r w:rsidRPr="00CC73D1">
        <w:rPr>
          <w:rFonts w:ascii="宋体" w:hAnsi="宋体"/>
          <w:sz w:val="18"/>
          <w:szCs w:val="18"/>
        </w:rPr>
        <w:t>21</w:t>
      </w:r>
      <w:r w:rsidRPr="00CC73D1">
        <w:rPr>
          <w:rFonts w:ascii="宋体" w:hAnsi="宋体" w:hint="eastAsia"/>
          <w:sz w:val="18"/>
          <w:szCs w:val="18"/>
        </w:rPr>
        <w:t>世纪的新航行呢？莎士比亚一直是新西兰搬上舞台最多的剧作家，而且是唯一一个以节日命名专门上演他的作品的剧作家。但是英国的文化吸引力已大不如前，如今，在某种意义上，莎士比亚的地位已发生两级分化，他的戏剧在中学课程是该减少还是该直接取消，在最近的争辩中日趋明显。新西兰人会将莎士比亚戏剧视为过去殖民地的遗产，还是将其作为“自身”文化不可或缺的一部分？他们会在海外寻找“真正的”莎士比亚，还是会找寻属于自己的新航向？在定义他们与莎士比亚的关系的同时，他们又会如何重新定义自己？</w:t>
      </w:r>
    </w:p>
    <w:p w:rsidR="003C6199" w:rsidRPr="00814A46" w:rsidRDefault="003C6199" w:rsidP="00196E25">
      <w:pPr>
        <w:rPr>
          <w:rFonts w:ascii="宋体"/>
          <w:sz w:val="18"/>
          <w:szCs w:val="18"/>
        </w:rPr>
      </w:pPr>
      <w:r w:rsidRPr="00814A46">
        <w:rPr>
          <w:rFonts w:ascii="宋体" w:hAnsi="宋体" w:hint="eastAsia"/>
          <w:b/>
          <w:sz w:val="18"/>
          <w:szCs w:val="18"/>
        </w:rPr>
        <w:t>关</w:t>
      </w:r>
      <w:r w:rsidRPr="00814A46">
        <w:rPr>
          <w:rFonts w:ascii="宋体" w:hAnsi="宋体"/>
          <w:b/>
          <w:sz w:val="18"/>
          <w:szCs w:val="18"/>
        </w:rPr>
        <w:t xml:space="preserve"> </w:t>
      </w:r>
      <w:r w:rsidRPr="00814A46">
        <w:rPr>
          <w:rFonts w:ascii="宋体" w:hAnsi="宋体" w:hint="eastAsia"/>
          <w:b/>
          <w:sz w:val="18"/>
          <w:szCs w:val="18"/>
        </w:rPr>
        <w:t>键</w:t>
      </w:r>
      <w:r w:rsidRPr="00814A46">
        <w:rPr>
          <w:rFonts w:ascii="宋体" w:hAnsi="宋体"/>
          <w:b/>
          <w:sz w:val="18"/>
          <w:szCs w:val="18"/>
        </w:rPr>
        <w:t xml:space="preserve"> </w:t>
      </w:r>
      <w:r w:rsidRPr="00814A46">
        <w:rPr>
          <w:rFonts w:ascii="宋体" w:hAnsi="宋体" w:hint="eastAsia"/>
          <w:b/>
          <w:sz w:val="18"/>
          <w:szCs w:val="18"/>
        </w:rPr>
        <w:t>词：</w:t>
      </w:r>
      <w:r w:rsidRPr="00814A46">
        <w:rPr>
          <w:rFonts w:ascii="宋体" w:hAnsi="宋体" w:hint="eastAsia"/>
          <w:sz w:val="18"/>
          <w:szCs w:val="18"/>
        </w:rPr>
        <w:t>莎士比亚</w:t>
      </w:r>
      <w:r w:rsidRPr="00814A46">
        <w:rPr>
          <w:rFonts w:ascii="宋体" w:hAnsi="宋体"/>
          <w:sz w:val="18"/>
          <w:szCs w:val="18"/>
        </w:rPr>
        <w:t xml:space="preserve">  </w:t>
      </w:r>
      <w:r w:rsidRPr="00814A46">
        <w:rPr>
          <w:rFonts w:ascii="宋体" w:hAnsi="宋体" w:hint="eastAsia"/>
          <w:sz w:val="18"/>
          <w:szCs w:val="18"/>
        </w:rPr>
        <w:t>新西兰国际艺术节</w:t>
      </w:r>
      <w:r w:rsidRPr="00814A46">
        <w:rPr>
          <w:rFonts w:ascii="宋体" w:hAnsi="宋体"/>
          <w:sz w:val="18"/>
          <w:szCs w:val="18"/>
        </w:rPr>
        <w:t xml:space="preserve">  </w:t>
      </w:r>
      <w:r w:rsidRPr="00814A46">
        <w:rPr>
          <w:rFonts w:ascii="宋体" w:hAnsi="宋体" w:hint="eastAsia"/>
          <w:sz w:val="18"/>
          <w:szCs w:val="18"/>
        </w:rPr>
        <w:t>毛利人</w:t>
      </w:r>
      <w:r w:rsidRPr="00814A46">
        <w:rPr>
          <w:rFonts w:ascii="宋体" w:hAnsi="宋体"/>
          <w:sz w:val="18"/>
          <w:szCs w:val="18"/>
        </w:rPr>
        <w:t xml:space="preserve">  </w:t>
      </w:r>
      <w:r w:rsidRPr="00814A46">
        <w:rPr>
          <w:rFonts w:ascii="宋体" w:hAnsi="宋体" w:hint="eastAsia"/>
          <w:sz w:val="18"/>
          <w:szCs w:val="18"/>
        </w:rPr>
        <w:t>纽西兰白人</w:t>
      </w:r>
    </w:p>
    <w:p w:rsidR="003C6199" w:rsidRDefault="003C6199" w:rsidP="00196E25">
      <w:pPr>
        <w:rPr>
          <w:sz w:val="18"/>
          <w:szCs w:val="18"/>
        </w:rPr>
      </w:pPr>
    </w:p>
    <w:p w:rsidR="003C6199" w:rsidRDefault="003C6199" w:rsidP="00196E25">
      <w:pPr>
        <w:rPr>
          <w:rFonts w:ascii="黑体" w:eastAsia="黑体"/>
          <w:bCs/>
          <w:szCs w:val="21"/>
        </w:rPr>
      </w:pPr>
      <w:r w:rsidRPr="00CC73D1">
        <w:rPr>
          <w:rFonts w:ascii="黑体" w:eastAsia="黑体" w:hint="eastAsia"/>
          <w:bCs/>
          <w:szCs w:val="21"/>
        </w:rPr>
        <w:t>莎士比亚、历史及商务影院中的杂糅性</w:t>
      </w:r>
      <w:r>
        <w:rPr>
          <w:rFonts w:ascii="黑体" w:eastAsia="黑体"/>
          <w:bCs/>
          <w:szCs w:val="21"/>
        </w:rPr>
        <w:t xml:space="preserve">                              </w:t>
      </w:r>
      <w:r w:rsidRPr="00CC73D1">
        <w:rPr>
          <w:rFonts w:ascii="黑体" w:eastAsia="黑体" w:hint="eastAsia"/>
          <w:bCs/>
          <w:szCs w:val="21"/>
        </w:rPr>
        <w:t>杨林贵</w:t>
      </w:r>
      <w:r w:rsidRPr="00CC73D1">
        <w:rPr>
          <w:rFonts w:ascii="黑体" w:eastAsia="黑体"/>
          <w:bCs/>
          <w:szCs w:val="21"/>
        </w:rPr>
        <w:t xml:space="preserve"> </w:t>
      </w:r>
      <w:r>
        <w:rPr>
          <w:rFonts w:ascii="黑体" w:eastAsia="黑体"/>
          <w:bCs/>
          <w:szCs w:val="21"/>
        </w:rPr>
        <w:t xml:space="preserve"> </w:t>
      </w:r>
      <w:r w:rsidRPr="00CC73D1">
        <w:rPr>
          <w:rFonts w:ascii="黑体" w:eastAsia="黑体" w:hint="eastAsia"/>
          <w:bCs/>
          <w:szCs w:val="21"/>
        </w:rPr>
        <w:t>罗益民</w:t>
      </w:r>
    </w:p>
    <w:p w:rsidR="003C6199" w:rsidRDefault="003C6199" w:rsidP="00196E25">
      <w:pPr>
        <w:rPr>
          <w:rFonts w:ascii="黑体" w:eastAsia="黑体"/>
          <w:bCs/>
          <w:szCs w:val="21"/>
        </w:rPr>
      </w:pPr>
      <w:r w:rsidRPr="002E3260">
        <w:rPr>
          <w:rFonts w:ascii="黑体" w:eastAsia="黑体"/>
          <w:bCs/>
          <w:szCs w:val="21"/>
        </w:rPr>
        <w:t>——</w:t>
      </w:r>
      <w:r w:rsidRPr="00CC73D1">
        <w:rPr>
          <w:rFonts w:ascii="黑体" w:eastAsia="黑体" w:hint="eastAsia"/>
          <w:bCs/>
          <w:szCs w:val="21"/>
        </w:rPr>
        <w:t>作为《哈姆莱特》衍生片的《夜宴》</w:t>
      </w:r>
    </w:p>
    <w:p w:rsidR="003C6199" w:rsidRDefault="003C6199" w:rsidP="00AB266A">
      <w:pPr>
        <w:ind w:firstLineChars="3250" w:firstLine="31680"/>
        <w:rPr>
          <w:rFonts w:ascii="黑体" w:eastAsia="黑体"/>
          <w:bCs/>
          <w:szCs w:val="21"/>
        </w:rPr>
      </w:pPr>
    </w:p>
    <w:p w:rsidR="003C6199" w:rsidRPr="00CC73D1" w:rsidRDefault="003C6199" w:rsidP="00196E25">
      <w:pPr>
        <w:rPr>
          <w:rFonts w:ascii="宋体"/>
          <w:b/>
          <w:bCs/>
          <w:sz w:val="30"/>
          <w:szCs w:val="30"/>
        </w:rPr>
      </w:pPr>
      <w:r w:rsidRPr="00CC73D1">
        <w:rPr>
          <w:rFonts w:ascii="宋体" w:hAnsi="宋体" w:hint="eastAsia"/>
          <w:b/>
        </w:rPr>
        <w:t>内容摘要：</w:t>
      </w:r>
      <w:r w:rsidRPr="00CC73D1">
        <w:rPr>
          <w:rFonts w:ascii="宋体" w:hAnsi="宋体" w:hint="eastAsia"/>
        </w:rPr>
        <w:t>冯小刚导演的《夜宴》以其大片做派以及与《哈姆莱特》的关联吸引了观众，但实际上与这部莎翁名剧只有松散渊源，却不失为后现代商务影院借用莎翁大名的典型案例。电影对于莎氏文化资本的利用，既有益于其经典在流行媒体的传播，也有助于制作方赢得经济效益。本文考察在何种意义上《夜宴》体现了后现代文化的生产过程以及电影如何利用历史和莎士比亚元素在商务影院中获得利润。本片对于性质迥异的文化符号的拼贴体现了后现代文化处理历史以及经典文本的策略。</w:t>
      </w:r>
    </w:p>
    <w:p w:rsidR="003C6199" w:rsidRPr="00CC73D1" w:rsidRDefault="003C6199" w:rsidP="00196E25">
      <w:pPr>
        <w:rPr>
          <w:rFonts w:ascii="宋体"/>
        </w:rPr>
      </w:pPr>
      <w:r w:rsidRPr="00CC73D1">
        <w:rPr>
          <w:rFonts w:ascii="宋体" w:hAnsi="宋体" w:hint="eastAsia"/>
          <w:b/>
        </w:rPr>
        <w:t>关</w:t>
      </w:r>
      <w:r>
        <w:rPr>
          <w:rFonts w:ascii="宋体" w:hAnsi="宋体"/>
          <w:b/>
        </w:rPr>
        <w:t xml:space="preserve"> </w:t>
      </w:r>
      <w:r w:rsidRPr="00CC73D1">
        <w:rPr>
          <w:rFonts w:ascii="宋体" w:hAnsi="宋体" w:hint="eastAsia"/>
          <w:b/>
        </w:rPr>
        <w:t>键</w:t>
      </w:r>
      <w:r>
        <w:rPr>
          <w:rFonts w:ascii="宋体" w:hAnsi="宋体"/>
          <w:b/>
        </w:rPr>
        <w:t xml:space="preserve"> </w:t>
      </w:r>
      <w:r w:rsidRPr="00CC73D1">
        <w:rPr>
          <w:rFonts w:ascii="宋体" w:hAnsi="宋体" w:hint="eastAsia"/>
          <w:b/>
        </w:rPr>
        <w:t>词：</w:t>
      </w:r>
      <w:r>
        <w:rPr>
          <w:rFonts w:ascii="宋体" w:hAnsi="宋体" w:hint="eastAsia"/>
        </w:rPr>
        <w:t>莎士比亚</w:t>
      </w:r>
      <w:r>
        <w:rPr>
          <w:rFonts w:ascii="宋体" w:hAnsi="宋体"/>
        </w:rPr>
        <w:t xml:space="preserve">  </w:t>
      </w:r>
      <w:r>
        <w:rPr>
          <w:rFonts w:ascii="宋体" w:hAnsi="宋体" w:hint="eastAsia"/>
        </w:rPr>
        <w:t>历史</w:t>
      </w:r>
      <w:r>
        <w:rPr>
          <w:rFonts w:ascii="宋体" w:hAnsi="宋体"/>
        </w:rPr>
        <w:t xml:space="preserve">  </w:t>
      </w:r>
      <w:r>
        <w:rPr>
          <w:rFonts w:ascii="宋体" w:hAnsi="宋体" w:hint="eastAsia"/>
        </w:rPr>
        <w:t>杂糅性</w:t>
      </w:r>
      <w:r>
        <w:rPr>
          <w:rFonts w:ascii="宋体" w:hAnsi="宋体"/>
        </w:rPr>
        <w:t xml:space="preserve">  </w:t>
      </w:r>
      <w:r>
        <w:rPr>
          <w:rFonts w:ascii="宋体" w:hAnsi="宋体" w:hint="eastAsia"/>
        </w:rPr>
        <w:t>商务影院</w:t>
      </w:r>
      <w:r>
        <w:rPr>
          <w:rFonts w:ascii="宋体" w:hAnsi="宋体"/>
        </w:rPr>
        <w:t xml:space="preserve">  </w:t>
      </w:r>
      <w:r w:rsidRPr="00CC73D1">
        <w:rPr>
          <w:rFonts w:ascii="宋体" w:hAnsi="宋体" w:hint="eastAsia"/>
        </w:rPr>
        <w:t>后现代</w:t>
      </w:r>
    </w:p>
    <w:p w:rsidR="003C6199" w:rsidRPr="00196E25" w:rsidRDefault="003C6199" w:rsidP="00196E25">
      <w:pPr>
        <w:rPr>
          <w:b/>
          <w:sz w:val="18"/>
          <w:szCs w:val="18"/>
        </w:rPr>
      </w:pPr>
    </w:p>
    <w:p w:rsidR="003C6199" w:rsidRDefault="003C6199" w:rsidP="00CC73D1">
      <w:pPr>
        <w:rPr>
          <w:rFonts w:ascii="黑体" w:eastAsia="黑体"/>
        </w:rPr>
      </w:pPr>
      <w:bookmarkStart w:id="0" w:name="OLE_LINK3"/>
      <w:r w:rsidRPr="00CC73D1">
        <w:rPr>
          <w:rFonts w:ascii="黑体" w:eastAsia="黑体" w:hint="eastAsia"/>
        </w:rPr>
        <w:t>轻狂男旦和高雅女士</w:t>
      </w:r>
      <w:r>
        <w:rPr>
          <w:rFonts w:ascii="黑体" w:eastAsia="黑体" w:hint="eastAsia"/>
        </w:rPr>
        <w:t>：</w:t>
      </w:r>
      <w:r w:rsidRPr="00CC73D1">
        <w:rPr>
          <w:rFonts w:ascii="黑体" w:eastAsia="黑体" w:hint="eastAsia"/>
        </w:rPr>
        <w:t>莎士比亚时代</w:t>
      </w:r>
      <w:r>
        <w:rPr>
          <w:rFonts w:ascii="黑体" w:eastAsia="黑体" w:hint="eastAsia"/>
        </w:rPr>
        <w:t>的一类</w:t>
      </w:r>
      <w:r w:rsidRPr="00CC73D1">
        <w:rPr>
          <w:rFonts w:ascii="黑体" w:eastAsia="黑体" w:hint="eastAsia"/>
        </w:rPr>
        <w:t>男性舞台形</w:t>
      </w:r>
      <w:r>
        <w:rPr>
          <w:rFonts w:ascii="黑体" w:eastAsia="黑体" w:hint="eastAsia"/>
        </w:rPr>
        <w:t>象</w:t>
      </w:r>
      <w:bookmarkEnd w:id="0"/>
      <w:r w:rsidRPr="00CC73D1">
        <w:rPr>
          <w:rFonts w:ascii="黑体" w:eastAsia="黑体"/>
        </w:rPr>
        <w:t xml:space="preserve">   </w:t>
      </w:r>
      <w:r>
        <w:rPr>
          <w:rFonts w:ascii="黑体" w:eastAsia="黑体"/>
        </w:rPr>
        <w:t xml:space="preserve">                    </w:t>
      </w:r>
      <w:r w:rsidRPr="00CC73D1">
        <w:rPr>
          <w:rFonts w:ascii="黑体" w:eastAsia="黑体" w:hint="eastAsia"/>
        </w:rPr>
        <w:t>沈</w:t>
      </w:r>
      <w:r>
        <w:rPr>
          <w:rFonts w:ascii="黑体" w:eastAsia="黑体"/>
        </w:rPr>
        <w:t xml:space="preserve">  </w:t>
      </w:r>
      <w:r w:rsidRPr="00CC73D1">
        <w:rPr>
          <w:rFonts w:ascii="黑体" w:eastAsia="黑体" w:hint="eastAsia"/>
        </w:rPr>
        <w:t>林</w:t>
      </w:r>
    </w:p>
    <w:p w:rsidR="003C6199" w:rsidRDefault="003C6199" w:rsidP="00CC73D1">
      <w:pPr>
        <w:rPr>
          <w:rFonts w:ascii="宋体"/>
          <w:b/>
        </w:rPr>
      </w:pPr>
    </w:p>
    <w:p w:rsidR="003C6199" w:rsidRDefault="003C6199" w:rsidP="00CC73D1">
      <w:pPr>
        <w:rPr>
          <w:rFonts w:ascii="宋体"/>
          <w:szCs w:val="30"/>
        </w:rPr>
      </w:pPr>
      <w:r w:rsidRPr="00CC73D1">
        <w:rPr>
          <w:rFonts w:ascii="宋体" w:hAnsi="宋体" w:hint="eastAsia"/>
          <w:b/>
        </w:rPr>
        <w:t>内容摘要</w:t>
      </w:r>
      <w:r>
        <w:rPr>
          <w:rFonts w:ascii="宋体" w:hAnsi="宋体" w:hint="eastAsia"/>
          <w:b/>
        </w:rPr>
        <w:t>：</w:t>
      </w:r>
      <w:r w:rsidRPr="00CC73D1">
        <w:rPr>
          <w:rFonts w:ascii="宋体" w:hAnsi="宋体" w:hint="eastAsia"/>
        </w:rPr>
        <w:t>对于与莎士比亚时代“男旦”所呈现的阴柔美，女性主义人物分析热衷于以现代新女性标准诠释其中大义；而男同性视角则流连于其间暧昧情趣。本文撷取男旦登台的几则掌故，加以考证；留意场上表演在纸上人物转变为舞台形象过程中所发挥的影响，选择《第十二夜》和《比西</w:t>
      </w:r>
      <w:r w:rsidRPr="00CC73D1">
        <w:rPr>
          <w:rFonts w:ascii="宋体"/>
        </w:rPr>
        <w:t>•</w:t>
      </w:r>
      <w:r w:rsidRPr="00CC73D1">
        <w:rPr>
          <w:rFonts w:ascii="宋体" w:hAnsi="宋体" w:hint="eastAsia"/>
        </w:rPr>
        <w:t>德</w:t>
      </w:r>
      <w:r w:rsidRPr="00CC73D1">
        <w:rPr>
          <w:rFonts w:ascii="宋体"/>
        </w:rPr>
        <w:t>•</w:t>
      </w:r>
      <w:r w:rsidRPr="00CC73D1">
        <w:rPr>
          <w:rFonts w:ascii="宋体" w:hAnsi="宋体" w:hint="eastAsia"/>
        </w:rPr>
        <w:t>昂布瓦》两戏，举为案例；以期管窥位卑貌美的少年与高雅富有的女士情场角力背后，由于社会地位差异形成的阶级斗争因素。</w:t>
      </w:r>
    </w:p>
    <w:p w:rsidR="003C6199" w:rsidRDefault="003C6199" w:rsidP="00CC73D1">
      <w:r w:rsidRPr="003F61F7">
        <w:rPr>
          <w:rFonts w:ascii="Times New Roman" w:hAnsi="Times New Roman" w:hint="eastAsia"/>
          <w:b/>
          <w:lang w:val="en-GB"/>
        </w:rPr>
        <w:t>关</w:t>
      </w:r>
      <w:r>
        <w:rPr>
          <w:rFonts w:ascii="Times New Roman" w:hAnsi="Times New Roman"/>
          <w:b/>
          <w:lang w:val="en-GB"/>
        </w:rPr>
        <w:t xml:space="preserve"> </w:t>
      </w:r>
      <w:r w:rsidRPr="003F61F7">
        <w:rPr>
          <w:rFonts w:ascii="Times New Roman" w:hAnsi="Times New Roman" w:hint="eastAsia"/>
          <w:b/>
          <w:lang w:val="en-GB"/>
        </w:rPr>
        <w:t>键</w:t>
      </w:r>
      <w:r>
        <w:rPr>
          <w:rFonts w:ascii="Times New Roman" w:hAnsi="Times New Roman"/>
          <w:b/>
          <w:lang w:val="en-GB"/>
        </w:rPr>
        <w:t xml:space="preserve"> </w:t>
      </w:r>
      <w:r w:rsidRPr="003F61F7">
        <w:rPr>
          <w:rFonts w:ascii="Times New Roman" w:hAnsi="Times New Roman" w:hint="eastAsia"/>
          <w:b/>
          <w:lang w:val="en-GB"/>
        </w:rPr>
        <w:t>词：</w:t>
      </w:r>
      <w:r>
        <w:rPr>
          <w:rFonts w:ascii="Times New Roman" w:hAnsi="Times New Roman" w:hint="eastAsia"/>
          <w:szCs w:val="24"/>
          <w:lang w:val="en-GB"/>
        </w:rPr>
        <w:t>莎士比亚</w:t>
      </w:r>
      <w:r>
        <w:rPr>
          <w:rFonts w:ascii="Times New Roman" w:hAnsi="Times New Roman"/>
          <w:szCs w:val="24"/>
        </w:rPr>
        <w:t xml:space="preserve">  </w:t>
      </w:r>
      <w:r>
        <w:rPr>
          <w:rFonts w:ascii="Times New Roman" w:hAnsi="Times New Roman" w:hint="eastAsia"/>
          <w:szCs w:val="24"/>
        </w:rPr>
        <w:t>男旦</w:t>
      </w:r>
      <w:r>
        <w:rPr>
          <w:rFonts w:ascii="Times New Roman" w:hAnsi="Times New Roman"/>
          <w:szCs w:val="24"/>
        </w:rPr>
        <w:t xml:space="preserve">  </w:t>
      </w:r>
      <w:r>
        <w:rPr>
          <w:rFonts w:ascii="Times New Roman" w:hAnsi="Times New Roman" w:hint="eastAsia"/>
          <w:szCs w:val="24"/>
        </w:rPr>
        <w:t>阶级斗争</w:t>
      </w:r>
      <w:r>
        <w:t xml:space="preserve"> </w:t>
      </w:r>
    </w:p>
    <w:p w:rsidR="003C6199" w:rsidRDefault="003C6199" w:rsidP="00B50D0C">
      <w:pPr>
        <w:rPr>
          <w:color w:val="000000"/>
          <w:szCs w:val="21"/>
        </w:rPr>
      </w:pPr>
    </w:p>
    <w:p w:rsidR="003C6199" w:rsidRPr="00633EE4" w:rsidRDefault="003C6199" w:rsidP="00B50D0C">
      <w:pPr>
        <w:rPr>
          <w:rFonts w:ascii="黑体" w:eastAsia="黑体"/>
          <w:color w:val="000000"/>
          <w:szCs w:val="21"/>
        </w:rPr>
      </w:pPr>
      <w:r w:rsidRPr="00633EE4">
        <w:rPr>
          <w:rFonts w:ascii="黑体" w:eastAsia="黑体" w:hint="eastAsia"/>
          <w:color w:val="000000"/>
          <w:szCs w:val="21"/>
        </w:rPr>
        <w:t>论莎剧中的行为</w:t>
      </w:r>
      <w:r w:rsidRPr="00633EE4">
        <w:rPr>
          <w:rFonts w:ascii="黑体" w:eastAsia="黑体"/>
          <w:color w:val="000000"/>
          <w:szCs w:val="21"/>
        </w:rPr>
        <w:t>/</w:t>
      </w:r>
      <w:r w:rsidRPr="00633EE4">
        <w:rPr>
          <w:rFonts w:ascii="黑体" w:eastAsia="黑体" w:hint="eastAsia"/>
          <w:color w:val="000000"/>
          <w:szCs w:val="21"/>
        </w:rPr>
        <w:t>表演与自我建构</w:t>
      </w:r>
      <w:r w:rsidRPr="00633EE4">
        <w:rPr>
          <w:rFonts w:ascii="黑体" w:eastAsia="黑体"/>
          <w:color w:val="000000"/>
          <w:szCs w:val="21"/>
        </w:rPr>
        <w:t xml:space="preserve">   </w:t>
      </w:r>
      <w:r>
        <w:rPr>
          <w:rFonts w:ascii="黑体" w:eastAsia="黑体"/>
          <w:color w:val="000000"/>
          <w:szCs w:val="21"/>
        </w:rPr>
        <w:t xml:space="preserve">                                        </w:t>
      </w:r>
      <w:r w:rsidRPr="00633EE4">
        <w:rPr>
          <w:rFonts w:ascii="黑体" w:eastAsia="黑体"/>
          <w:color w:val="000000"/>
          <w:szCs w:val="21"/>
        </w:rPr>
        <w:t xml:space="preserve"> </w:t>
      </w:r>
      <w:r w:rsidRPr="00633EE4">
        <w:rPr>
          <w:rFonts w:ascii="黑体" w:eastAsia="黑体" w:hint="eastAsia"/>
          <w:color w:val="000000"/>
          <w:szCs w:val="21"/>
        </w:rPr>
        <w:t>虞又铭</w:t>
      </w:r>
    </w:p>
    <w:p w:rsidR="003C6199" w:rsidRDefault="003C6199" w:rsidP="00E071ED">
      <w:pPr>
        <w:rPr>
          <w:color w:val="000000"/>
          <w:szCs w:val="21"/>
        </w:rPr>
      </w:pPr>
    </w:p>
    <w:p w:rsidR="003C6199" w:rsidRPr="00633EE4" w:rsidRDefault="003C6199" w:rsidP="00633EE4">
      <w:pPr>
        <w:rPr>
          <w:rFonts w:ascii="宋体"/>
        </w:rPr>
      </w:pPr>
      <w:r w:rsidRPr="00CC73D1">
        <w:rPr>
          <w:rFonts w:ascii="宋体" w:hAnsi="宋体" w:hint="eastAsia"/>
          <w:b/>
        </w:rPr>
        <w:t>内容摘要：</w:t>
      </w:r>
      <w:r w:rsidRPr="00633EE4">
        <w:rPr>
          <w:rFonts w:ascii="宋体" w:hAnsi="宋体" w:hint="eastAsia"/>
        </w:rPr>
        <w:t>从人类表演的角度切入，我们会在莎士比亚的剧作里，发现许多现实行为中蕴含的表演。本文以《暴风雨》、《理查二世》和《冬天的故事》为例，对莎士比亚戏剧中行为</w:t>
      </w:r>
      <w:r w:rsidRPr="00633EE4">
        <w:rPr>
          <w:rFonts w:ascii="宋体" w:hAnsi="宋体"/>
        </w:rPr>
        <w:t>/</w:t>
      </w:r>
      <w:r w:rsidRPr="00633EE4">
        <w:rPr>
          <w:rFonts w:ascii="宋体" w:hAnsi="宋体" w:hint="eastAsia"/>
        </w:rPr>
        <w:t>表演的普遍存在作一揭示。在这三个剧目中，主人公的主要动作都是自然而然的现实行为，但同时又是一种表演。他们的表演不在于绚烂的舞台，而在于建构各自需要的形象，在形象展示中应对各自的处境。</w:t>
      </w:r>
    </w:p>
    <w:p w:rsidR="003C6199" w:rsidRPr="00633EE4" w:rsidRDefault="003C6199" w:rsidP="00633EE4">
      <w:pPr>
        <w:rPr>
          <w:rFonts w:ascii="宋体"/>
        </w:rPr>
      </w:pPr>
      <w:r w:rsidRPr="00633EE4">
        <w:rPr>
          <w:rFonts w:ascii="宋体" w:hAnsi="宋体" w:hint="eastAsia"/>
          <w:b/>
        </w:rPr>
        <w:t>关</w:t>
      </w:r>
      <w:r>
        <w:rPr>
          <w:rFonts w:ascii="宋体" w:hAnsi="宋体"/>
          <w:b/>
        </w:rPr>
        <w:t xml:space="preserve"> </w:t>
      </w:r>
      <w:r w:rsidRPr="00633EE4">
        <w:rPr>
          <w:rFonts w:ascii="宋体" w:hAnsi="宋体" w:hint="eastAsia"/>
          <w:b/>
        </w:rPr>
        <w:t>键</w:t>
      </w:r>
      <w:r>
        <w:rPr>
          <w:rFonts w:ascii="宋体" w:hAnsi="宋体"/>
          <w:b/>
        </w:rPr>
        <w:t xml:space="preserve"> </w:t>
      </w:r>
      <w:r w:rsidRPr="00633EE4">
        <w:rPr>
          <w:rFonts w:ascii="宋体" w:hAnsi="宋体" w:hint="eastAsia"/>
          <w:b/>
        </w:rPr>
        <w:t>词：</w:t>
      </w:r>
      <w:r w:rsidRPr="00633EE4">
        <w:rPr>
          <w:rFonts w:ascii="宋体" w:hAnsi="宋体" w:hint="eastAsia"/>
        </w:rPr>
        <w:t>莎士比亚</w:t>
      </w:r>
      <w:r>
        <w:rPr>
          <w:rFonts w:ascii="宋体" w:hAnsi="宋体"/>
        </w:rPr>
        <w:t xml:space="preserve"> </w:t>
      </w:r>
      <w:r w:rsidRPr="00633EE4">
        <w:rPr>
          <w:rFonts w:ascii="宋体" w:hAnsi="宋体"/>
        </w:rPr>
        <w:t xml:space="preserve"> </w:t>
      </w:r>
      <w:r w:rsidRPr="00633EE4">
        <w:rPr>
          <w:rFonts w:ascii="宋体" w:hAnsi="宋体" w:hint="eastAsia"/>
        </w:rPr>
        <w:t>现实行为</w:t>
      </w:r>
      <w:r>
        <w:rPr>
          <w:rFonts w:ascii="宋体" w:hAnsi="宋体"/>
        </w:rPr>
        <w:t xml:space="preserve"> </w:t>
      </w:r>
      <w:r w:rsidRPr="00633EE4">
        <w:rPr>
          <w:rFonts w:ascii="宋体" w:hAnsi="宋体"/>
        </w:rPr>
        <w:t xml:space="preserve"> </w:t>
      </w:r>
      <w:r w:rsidRPr="00633EE4">
        <w:rPr>
          <w:rFonts w:ascii="宋体" w:hAnsi="宋体" w:hint="eastAsia"/>
        </w:rPr>
        <w:t>形象建构</w:t>
      </w:r>
      <w:r>
        <w:rPr>
          <w:rFonts w:ascii="宋体" w:hAnsi="宋体"/>
        </w:rPr>
        <w:t xml:space="preserve"> </w:t>
      </w:r>
      <w:r w:rsidRPr="00633EE4">
        <w:rPr>
          <w:rFonts w:ascii="宋体" w:hAnsi="宋体"/>
        </w:rPr>
        <w:t xml:space="preserve"> </w:t>
      </w:r>
      <w:r w:rsidRPr="00633EE4">
        <w:rPr>
          <w:rFonts w:ascii="宋体" w:hAnsi="宋体" w:hint="eastAsia"/>
        </w:rPr>
        <w:t>表演</w:t>
      </w:r>
    </w:p>
    <w:p w:rsidR="003C6199" w:rsidRDefault="003C6199" w:rsidP="00E071ED">
      <w:pPr>
        <w:rPr>
          <w:color w:val="000000"/>
          <w:szCs w:val="21"/>
        </w:rPr>
      </w:pPr>
    </w:p>
    <w:p w:rsidR="003C6199" w:rsidRPr="00633EE4" w:rsidRDefault="003C6199" w:rsidP="002E751C">
      <w:pPr>
        <w:rPr>
          <w:b/>
          <w:sz w:val="24"/>
          <w:szCs w:val="24"/>
        </w:rPr>
      </w:pPr>
      <w:r w:rsidRPr="00633EE4">
        <w:rPr>
          <w:rFonts w:hint="eastAsia"/>
          <w:b/>
          <w:sz w:val="24"/>
          <w:szCs w:val="24"/>
        </w:rPr>
        <w:t>作家作品研究</w:t>
      </w:r>
    </w:p>
    <w:p w:rsidR="003C6199" w:rsidRDefault="003C6199" w:rsidP="00517685">
      <w:pPr>
        <w:rPr>
          <w:szCs w:val="21"/>
        </w:rPr>
      </w:pPr>
    </w:p>
    <w:p w:rsidR="003C6199" w:rsidRPr="00633EE4" w:rsidRDefault="003C6199" w:rsidP="00517685">
      <w:pPr>
        <w:rPr>
          <w:rFonts w:ascii="黑体" w:eastAsia="黑体"/>
          <w:szCs w:val="21"/>
        </w:rPr>
      </w:pPr>
      <w:r w:rsidRPr="00633EE4">
        <w:rPr>
          <w:rFonts w:ascii="黑体" w:eastAsia="黑体"/>
          <w:szCs w:val="21"/>
        </w:rPr>
        <w:t>21</w:t>
      </w:r>
      <w:r w:rsidRPr="00633EE4">
        <w:rPr>
          <w:rFonts w:ascii="黑体" w:eastAsia="黑体" w:hint="eastAsia"/>
          <w:szCs w:val="21"/>
        </w:rPr>
        <w:t>世纪阿瑟·密勒在美国的研究</w:t>
      </w:r>
      <w:r w:rsidRPr="00633EE4">
        <w:rPr>
          <w:rFonts w:ascii="黑体" w:eastAsia="黑体"/>
          <w:szCs w:val="21"/>
        </w:rPr>
        <w:t xml:space="preserve"> </w:t>
      </w:r>
      <w:r>
        <w:rPr>
          <w:rFonts w:ascii="黑体" w:eastAsia="黑体"/>
          <w:szCs w:val="21"/>
        </w:rPr>
        <w:t xml:space="preserve">                                           </w:t>
      </w:r>
      <w:r w:rsidRPr="00633EE4">
        <w:rPr>
          <w:rFonts w:ascii="黑体" w:eastAsia="黑体"/>
          <w:szCs w:val="21"/>
        </w:rPr>
        <w:t xml:space="preserve"> </w:t>
      </w:r>
      <w:r w:rsidRPr="00633EE4">
        <w:rPr>
          <w:rFonts w:ascii="黑体" w:eastAsia="黑体" w:hint="eastAsia"/>
          <w:szCs w:val="21"/>
        </w:rPr>
        <w:t>赵永健</w:t>
      </w:r>
    </w:p>
    <w:p w:rsidR="003C6199" w:rsidRDefault="003C6199" w:rsidP="002E751C">
      <w:pPr>
        <w:widowControl/>
        <w:autoSpaceDE w:val="0"/>
        <w:autoSpaceDN w:val="0"/>
        <w:adjustRightInd w:val="0"/>
        <w:rPr>
          <w:rFonts w:ascii="宋体" w:cs="Times"/>
          <w:bCs/>
          <w:color w:val="262626"/>
          <w:kern w:val="0"/>
          <w:szCs w:val="21"/>
        </w:rPr>
      </w:pPr>
    </w:p>
    <w:p w:rsidR="003C6199" w:rsidRPr="00633EE4" w:rsidRDefault="003C6199" w:rsidP="00633EE4">
      <w:pPr>
        <w:widowControl/>
        <w:autoSpaceDE w:val="0"/>
        <w:autoSpaceDN w:val="0"/>
        <w:adjustRightInd w:val="0"/>
        <w:rPr>
          <w:rFonts w:ascii="宋体" w:cs="Times"/>
          <w:bCs/>
          <w:color w:val="262626"/>
          <w:kern w:val="0"/>
          <w:szCs w:val="21"/>
        </w:rPr>
      </w:pPr>
      <w:r w:rsidRPr="00633EE4">
        <w:rPr>
          <w:rFonts w:ascii="宋体" w:hAnsi="宋体" w:cs="Times" w:hint="eastAsia"/>
          <w:b/>
          <w:bCs/>
          <w:color w:val="262626"/>
          <w:kern w:val="0"/>
          <w:szCs w:val="21"/>
        </w:rPr>
        <w:t>内容摘要：</w:t>
      </w:r>
      <w:r w:rsidRPr="00633EE4">
        <w:rPr>
          <w:rFonts w:ascii="宋体" w:hAnsi="宋体" w:cs="Times" w:hint="eastAsia"/>
          <w:bCs/>
          <w:color w:val="262626"/>
          <w:kern w:val="0"/>
          <w:szCs w:val="21"/>
        </w:rPr>
        <w:t>阿瑟</w:t>
      </w:r>
      <w:r w:rsidRPr="00633EE4">
        <w:rPr>
          <w:rFonts w:ascii="宋体" w:cs="Times"/>
          <w:bCs/>
          <w:color w:val="262626"/>
          <w:kern w:val="0"/>
          <w:szCs w:val="21"/>
        </w:rPr>
        <w:t>•</w:t>
      </w:r>
      <w:r w:rsidRPr="00633EE4">
        <w:rPr>
          <w:rFonts w:ascii="宋体" w:hAnsi="宋体" w:cs="Times" w:hint="eastAsia"/>
          <w:bCs/>
          <w:color w:val="262626"/>
          <w:kern w:val="0"/>
          <w:szCs w:val="21"/>
        </w:rPr>
        <w:t>密勒是美国二十世纪与奥尼尔和田纳西比肩的重量级戏剧家，他的文学创作从二十世纪三十年代一直延续到二十一世纪初，美国学界对其作品的研究也一直没有间断。进入新千年，美国学界出版了多部整体性研究成果，同时借助各种理论视角对密勒戏剧的“犹太性”、“政治性”、“互文性”、“语言诗性”等方面进行了深入探讨，与二十世纪密勒研究形成积极有效的对话。</w:t>
      </w:r>
      <w:r w:rsidRPr="00633EE4">
        <w:rPr>
          <w:rFonts w:ascii="宋体" w:hAnsi="宋体" w:cs="Times"/>
          <w:bCs/>
          <w:color w:val="262626"/>
          <w:kern w:val="0"/>
          <w:szCs w:val="21"/>
        </w:rPr>
        <w:t>2015</w:t>
      </w:r>
      <w:r w:rsidRPr="00633EE4">
        <w:rPr>
          <w:rFonts w:ascii="宋体" w:hAnsi="宋体" w:cs="Times" w:hint="eastAsia"/>
          <w:bCs/>
          <w:color w:val="262626"/>
          <w:kern w:val="0"/>
          <w:szCs w:val="21"/>
        </w:rPr>
        <w:t>年恰逢密勒诞辰一百周年，适时地对新世纪美国密勒研究成果进行梳理和评述，对我们进一步展开密勒研究具有重要的借鉴价值和指导意义。</w:t>
      </w:r>
    </w:p>
    <w:p w:rsidR="003C6199" w:rsidRPr="00633EE4" w:rsidRDefault="003C6199" w:rsidP="00633EE4">
      <w:pPr>
        <w:widowControl/>
        <w:autoSpaceDE w:val="0"/>
        <w:autoSpaceDN w:val="0"/>
        <w:adjustRightInd w:val="0"/>
        <w:rPr>
          <w:rFonts w:ascii="宋体" w:cs="Times"/>
          <w:bCs/>
          <w:color w:val="262626"/>
          <w:kern w:val="0"/>
          <w:szCs w:val="21"/>
        </w:rPr>
      </w:pPr>
      <w:r w:rsidRPr="00633EE4">
        <w:rPr>
          <w:rFonts w:ascii="宋体" w:hAnsi="宋体" w:cs="Times" w:hint="eastAsia"/>
          <w:b/>
          <w:bCs/>
          <w:color w:val="262626"/>
          <w:kern w:val="0"/>
          <w:szCs w:val="21"/>
        </w:rPr>
        <w:t>关</w:t>
      </w:r>
      <w:r w:rsidRPr="00633EE4">
        <w:rPr>
          <w:rFonts w:ascii="宋体" w:hAnsi="宋体" w:cs="Times"/>
          <w:b/>
          <w:bCs/>
          <w:color w:val="262626"/>
          <w:kern w:val="0"/>
          <w:szCs w:val="21"/>
        </w:rPr>
        <w:t xml:space="preserve"> </w:t>
      </w:r>
      <w:r w:rsidRPr="00633EE4">
        <w:rPr>
          <w:rFonts w:ascii="宋体" w:hAnsi="宋体" w:cs="Times" w:hint="eastAsia"/>
          <w:b/>
          <w:bCs/>
          <w:color w:val="262626"/>
          <w:kern w:val="0"/>
          <w:szCs w:val="21"/>
        </w:rPr>
        <w:t>键</w:t>
      </w:r>
      <w:r w:rsidRPr="00633EE4">
        <w:rPr>
          <w:rFonts w:ascii="宋体" w:hAnsi="宋体" w:cs="Times"/>
          <w:b/>
          <w:bCs/>
          <w:color w:val="262626"/>
          <w:kern w:val="0"/>
          <w:szCs w:val="21"/>
        </w:rPr>
        <w:t xml:space="preserve"> </w:t>
      </w:r>
      <w:r w:rsidRPr="00633EE4">
        <w:rPr>
          <w:rFonts w:ascii="宋体" w:hAnsi="宋体" w:cs="Times" w:hint="eastAsia"/>
          <w:b/>
          <w:bCs/>
          <w:color w:val="262626"/>
          <w:kern w:val="0"/>
          <w:szCs w:val="21"/>
        </w:rPr>
        <w:t>词：</w:t>
      </w:r>
      <w:r w:rsidRPr="00633EE4">
        <w:rPr>
          <w:rFonts w:ascii="宋体" w:hAnsi="宋体" w:cs="Times" w:hint="eastAsia"/>
          <w:bCs/>
          <w:color w:val="262626"/>
          <w:kern w:val="0"/>
          <w:szCs w:val="21"/>
        </w:rPr>
        <w:t>阿瑟</w:t>
      </w:r>
      <w:r w:rsidRPr="00633EE4">
        <w:rPr>
          <w:rFonts w:ascii="宋体" w:cs="Times"/>
          <w:bCs/>
          <w:color w:val="262626"/>
          <w:kern w:val="0"/>
          <w:szCs w:val="21"/>
        </w:rPr>
        <w:t>•</w:t>
      </w:r>
      <w:r w:rsidRPr="00633EE4">
        <w:rPr>
          <w:rFonts w:ascii="宋体" w:hAnsi="宋体" w:cs="Times" w:hint="eastAsia"/>
          <w:bCs/>
          <w:color w:val="262626"/>
          <w:kern w:val="0"/>
          <w:szCs w:val="21"/>
        </w:rPr>
        <w:t>密勒</w:t>
      </w:r>
      <w:r w:rsidRPr="00633EE4">
        <w:rPr>
          <w:rFonts w:ascii="宋体" w:hAnsi="宋体" w:cs="Times"/>
          <w:bCs/>
          <w:color w:val="262626"/>
          <w:kern w:val="0"/>
          <w:szCs w:val="21"/>
        </w:rPr>
        <w:t xml:space="preserve">  </w:t>
      </w:r>
      <w:r w:rsidRPr="00633EE4">
        <w:rPr>
          <w:rFonts w:ascii="宋体" w:hAnsi="宋体" w:cs="Times" w:hint="eastAsia"/>
          <w:bCs/>
          <w:color w:val="262626"/>
          <w:kern w:val="0"/>
          <w:szCs w:val="21"/>
        </w:rPr>
        <w:t>美国</w:t>
      </w:r>
      <w:r w:rsidRPr="00633EE4">
        <w:rPr>
          <w:rFonts w:ascii="宋体" w:hAnsi="宋体" w:cs="Times"/>
          <w:bCs/>
          <w:color w:val="262626"/>
          <w:kern w:val="0"/>
          <w:szCs w:val="21"/>
        </w:rPr>
        <w:t xml:space="preserve">  </w:t>
      </w:r>
      <w:r w:rsidRPr="00633EE4">
        <w:rPr>
          <w:rFonts w:ascii="宋体" w:hAnsi="宋体" w:cs="Times" w:hint="eastAsia"/>
          <w:bCs/>
          <w:color w:val="262626"/>
          <w:kern w:val="0"/>
          <w:szCs w:val="21"/>
        </w:rPr>
        <w:t>新世纪</w:t>
      </w:r>
      <w:r w:rsidRPr="00633EE4">
        <w:rPr>
          <w:rFonts w:ascii="宋体" w:hAnsi="宋体" w:cs="Times"/>
          <w:bCs/>
          <w:color w:val="262626"/>
          <w:kern w:val="0"/>
          <w:szCs w:val="21"/>
        </w:rPr>
        <w:t xml:space="preserve">  </w:t>
      </w:r>
      <w:r w:rsidRPr="00633EE4">
        <w:rPr>
          <w:rFonts w:ascii="宋体" w:hAnsi="宋体" w:cs="Times" w:hint="eastAsia"/>
          <w:bCs/>
          <w:color w:val="262626"/>
          <w:kern w:val="0"/>
          <w:szCs w:val="21"/>
        </w:rPr>
        <w:t>研究述评</w:t>
      </w:r>
    </w:p>
    <w:p w:rsidR="003C6199" w:rsidRDefault="003C6199" w:rsidP="002E751C">
      <w:pPr>
        <w:widowControl/>
        <w:autoSpaceDE w:val="0"/>
        <w:autoSpaceDN w:val="0"/>
        <w:adjustRightInd w:val="0"/>
        <w:rPr>
          <w:rFonts w:ascii="宋体" w:cs="Times"/>
          <w:bCs/>
          <w:color w:val="262626"/>
          <w:kern w:val="0"/>
          <w:szCs w:val="21"/>
        </w:rPr>
      </w:pPr>
    </w:p>
    <w:p w:rsidR="003C6199" w:rsidRDefault="003C6199" w:rsidP="00633EE4">
      <w:pPr>
        <w:widowControl/>
        <w:autoSpaceDE w:val="0"/>
        <w:autoSpaceDN w:val="0"/>
        <w:adjustRightInd w:val="0"/>
        <w:rPr>
          <w:rFonts w:ascii="黑体" w:eastAsia="黑体" w:hAnsi="宋体" w:cs="Times"/>
          <w:bCs/>
          <w:color w:val="262626"/>
          <w:kern w:val="0"/>
          <w:szCs w:val="21"/>
        </w:rPr>
      </w:pPr>
      <w:r w:rsidRPr="00633EE4">
        <w:rPr>
          <w:rFonts w:ascii="黑体" w:eastAsia="黑体" w:hAnsi="宋体" w:cs="Times" w:hint="eastAsia"/>
          <w:bCs/>
          <w:color w:val="262626"/>
          <w:kern w:val="0"/>
          <w:szCs w:val="21"/>
        </w:rPr>
        <w:t>消费文化情景中的先锋戏剧</w:t>
      </w:r>
      <w:r>
        <w:rPr>
          <w:rFonts w:ascii="黑体" w:eastAsia="黑体" w:hAnsi="宋体" w:cs="Times"/>
          <w:bCs/>
          <w:color w:val="262626"/>
          <w:kern w:val="0"/>
          <w:szCs w:val="21"/>
        </w:rPr>
        <w:t xml:space="preserve">                                                 </w:t>
      </w:r>
      <w:r w:rsidRPr="00633EE4">
        <w:rPr>
          <w:rFonts w:ascii="黑体" w:eastAsia="黑体" w:hAnsi="宋体" w:cs="Times" w:hint="eastAsia"/>
          <w:color w:val="262626"/>
          <w:kern w:val="0"/>
          <w:szCs w:val="21"/>
        </w:rPr>
        <w:t>沈嘉熠</w:t>
      </w:r>
    </w:p>
    <w:p w:rsidR="003C6199" w:rsidRDefault="003C6199" w:rsidP="00633EE4">
      <w:pPr>
        <w:widowControl/>
        <w:autoSpaceDE w:val="0"/>
        <w:autoSpaceDN w:val="0"/>
        <w:adjustRightInd w:val="0"/>
        <w:rPr>
          <w:rFonts w:ascii="黑体" w:eastAsia="黑体" w:cs="Cambria"/>
          <w:color w:val="262626"/>
          <w:kern w:val="0"/>
          <w:szCs w:val="21"/>
        </w:rPr>
      </w:pPr>
      <w:r w:rsidRPr="00633EE4">
        <w:rPr>
          <w:rFonts w:ascii="黑体" w:eastAsia="黑体" w:hAnsi="宋体" w:cs="Cambria"/>
          <w:color w:val="262626"/>
          <w:kern w:val="0"/>
          <w:szCs w:val="21"/>
        </w:rPr>
        <w:t>——</w:t>
      </w:r>
      <w:r w:rsidRPr="00633EE4">
        <w:rPr>
          <w:rFonts w:ascii="黑体" w:eastAsia="黑体" w:hAnsi="宋体" w:cs="Times" w:hint="eastAsia"/>
          <w:bCs/>
          <w:color w:val="262626"/>
          <w:kern w:val="0"/>
          <w:szCs w:val="21"/>
        </w:rPr>
        <w:t>以沉浸戏剧《</w:t>
      </w:r>
      <w:r w:rsidRPr="00633EE4">
        <w:rPr>
          <w:rFonts w:ascii="黑体" w:eastAsia="黑体" w:hAnsi="宋体" w:cs="Times" w:hint="eastAsia"/>
          <w:color w:val="262626"/>
          <w:kern w:val="0"/>
          <w:szCs w:val="21"/>
        </w:rPr>
        <w:t>不再沉睡</w:t>
      </w:r>
      <w:r w:rsidRPr="00633EE4">
        <w:rPr>
          <w:rFonts w:ascii="黑体" w:eastAsia="黑体" w:hAnsi="宋体" w:cs="Times" w:hint="eastAsia"/>
          <w:bCs/>
          <w:color w:val="262626"/>
          <w:kern w:val="0"/>
          <w:szCs w:val="21"/>
        </w:rPr>
        <w:t>》为例</w:t>
      </w:r>
      <w:r>
        <w:rPr>
          <w:rFonts w:ascii="黑体" w:eastAsia="黑体" w:hAnsi="宋体" w:cs="Times"/>
          <w:bCs/>
          <w:color w:val="262626"/>
          <w:kern w:val="0"/>
          <w:szCs w:val="21"/>
        </w:rPr>
        <w:t xml:space="preserve">                 </w:t>
      </w:r>
      <w:r w:rsidRPr="00633EE4">
        <w:rPr>
          <w:rFonts w:ascii="黑体" w:eastAsia="黑体" w:hAnsi="宋体" w:cs="Times"/>
          <w:bCs/>
          <w:color w:val="262626"/>
          <w:kern w:val="0"/>
          <w:szCs w:val="21"/>
        </w:rPr>
        <w:t xml:space="preserve">  </w:t>
      </w:r>
    </w:p>
    <w:p w:rsidR="003C6199" w:rsidRDefault="003C6199" w:rsidP="00633EE4">
      <w:pPr>
        <w:widowControl/>
        <w:autoSpaceDE w:val="0"/>
        <w:autoSpaceDN w:val="0"/>
        <w:adjustRightInd w:val="0"/>
        <w:rPr>
          <w:rFonts w:ascii="黑体" w:eastAsia="黑体" w:cs="Cambria"/>
          <w:color w:val="262626"/>
          <w:kern w:val="0"/>
          <w:szCs w:val="21"/>
        </w:rPr>
      </w:pPr>
    </w:p>
    <w:p w:rsidR="003C6199" w:rsidRPr="00633EE4" w:rsidRDefault="003C6199" w:rsidP="00633EE4">
      <w:pPr>
        <w:widowControl/>
        <w:autoSpaceDE w:val="0"/>
        <w:autoSpaceDN w:val="0"/>
        <w:adjustRightInd w:val="0"/>
        <w:rPr>
          <w:rFonts w:ascii="宋体" w:cs="Times"/>
          <w:bCs/>
          <w:color w:val="262626"/>
          <w:kern w:val="0"/>
          <w:szCs w:val="21"/>
        </w:rPr>
      </w:pPr>
      <w:r w:rsidRPr="00633EE4">
        <w:rPr>
          <w:rFonts w:ascii="宋体" w:hAnsi="宋体" w:cs="Times" w:hint="eastAsia"/>
          <w:b/>
          <w:bCs/>
          <w:color w:val="262626"/>
          <w:kern w:val="0"/>
          <w:szCs w:val="21"/>
        </w:rPr>
        <w:t>内容摘要：</w:t>
      </w:r>
      <w:r w:rsidRPr="00633EE4">
        <w:rPr>
          <w:rFonts w:ascii="宋体" w:hAnsi="宋体" w:cs="Times" w:hint="eastAsia"/>
          <w:bCs/>
          <w:color w:val="262626"/>
          <w:kern w:val="0"/>
          <w:szCs w:val="21"/>
        </w:rPr>
        <w:t>内容摘要：阿瑟</w:t>
      </w:r>
      <w:r w:rsidRPr="00633EE4">
        <w:rPr>
          <w:rFonts w:ascii="宋体" w:cs="Times"/>
          <w:bCs/>
          <w:color w:val="262626"/>
          <w:kern w:val="0"/>
          <w:szCs w:val="21"/>
        </w:rPr>
        <w:t>•</w:t>
      </w:r>
      <w:r w:rsidRPr="00633EE4">
        <w:rPr>
          <w:rFonts w:ascii="宋体" w:hAnsi="宋体" w:cs="Times" w:hint="eastAsia"/>
          <w:bCs/>
          <w:color w:val="262626"/>
          <w:kern w:val="0"/>
          <w:szCs w:val="21"/>
        </w:rPr>
        <w:t>密勒是美国二十世纪与奥尼尔和田纳西比肩的重量级戏剧家，他的文学创作从二十世纪三十年代一直延续到二十一世纪初，美国学界对其作品的研究也一直没有间断。进入新千年，美国学界出版了多部整体性研究成果，同时借助各种理论视角对密勒戏剧的“犹太性”、“政治性”、“互文性”、“语言诗性”等方面进行了深入探讨，与二十世纪密勒研究形成积极有效的对话。</w:t>
      </w:r>
      <w:r w:rsidRPr="00633EE4">
        <w:rPr>
          <w:rFonts w:ascii="宋体" w:hAnsi="宋体" w:cs="Times"/>
          <w:bCs/>
          <w:color w:val="262626"/>
          <w:kern w:val="0"/>
          <w:szCs w:val="21"/>
        </w:rPr>
        <w:t>2015</w:t>
      </w:r>
      <w:r w:rsidRPr="00633EE4">
        <w:rPr>
          <w:rFonts w:ascii="宋体" w:hAnsi="宋体" w:cs="Times" w:hint="eastAsia"/>
          <w:bCs/>
          <w:color w:val="262626"/>
          <w:kern w:val="0"/>
          <w:szCs w:val="21"/>
        </w:rPr>
        <w:t>年恰逢密勒诞辰一百周年，适时地对新世纪美国密勒研究成果进行梳理和评述，对我们进一步展开密勒研究具有重要的借鉴价值和指导意义。</w:t>
      </w:r>
    </w:p>
    <w:p w:rsidR="003C6199" w:rsidRDefault="003C6199" w:rsidP="00633EE4">
      <w:pPr>
        <w:widowControl/>
        <w:autoSpaceDE w:val="0"/>
        <w:autoSpaceDN w:val="0"/>
        <w:adjustRightInd w:val="0"/>
        <w:rPr>
          <w:rFonts w:ascii="宋体" w:eastAsia="黑体" w:hAnsi="宋体" w:cs="Times"/>
          <w:bCs/>
          <w:color w:val="262626"/>
          <w:kern w:val="0"/>
          <w:szCs w:val="21"/>
        </w:rPr>
      </w:pPr>
      <w:r w:rsidRPr="00633EE4">
        <w:rPr>
          <w:rFonts w:ascii="宋体" w:hAnsi="宋体" w:cs="Times" w:hint="eastAsia"/>
          <w:b/>
          <w:bCs/>
          <w:color w:val="262626"/>
          <w:kern w:val="0"/>
          <w:szCs w:val="21"/>
        </w:rPr>
        <w:t>关</w:t>
      </w:r>
      <w:r w:rsidRPr="00633EE4">
        <w:rPr>
          <w:rFonts w:ascii="宋体" w:hAnsi="宋体" w:cs="Times"/>
          <w:b/>
          <w:bCs/>
          <w:color w:val="262626"/>
          <w:kern w:val="0"/>
          <w:szCs w:val="21"/>
        </w:rPr>
        <w:t xml:space="preserve"> </w:t>
      </w:r>
      <w:r w:rsidRPr="00633EE4">
        <w:rPr>
          <w:rFonts w:ascii="宋体" w:hAnsi="宋体" w:cs="Times" w:hint="eastAsia"/>
          <w:b/>
          <w:bCs/>
          <w:color w:val="262626"/>
          <w:kern w:val="0"/>
          <w:szCs w:val="21"/>
        </w:rPr>
        <w:t>键</w:t>
      </w:r>
      <w:r w:rsidRPr="00633EE4">
        <w:rPr>
          <w:rFonts w:ascii="宋体" w:hAnsi="宋体" w:cs="Times"/>
          <w:b/>
          <w:bCs/>
          <w:color w:val="262626"/>
          <w:kern w:val="0"/>
          <w:szCs w:val="21"/>
        </w:rPr>
        <w:t xml:space="preserve"> </w:t>
      </w:r>
      <w:r w:rsidRPr="00633EE4">
        <w:rPr>
          <w:rFonts w:ascii="宋体" w:hAnsi="宋体" w:cs="Times" w:hint="eastAsia"/>
          <w:b/>
          <w:bCs/>
          <w:color w:val="262626"/>
          <w:kern w:val="0"/>
          <w:szCs w:val="21"/>
        </w:rPr>
        <w:t>词：</w:t>
      </w:r>
      <w:r w:rsidRPr="00633EE4">
        <w:rPr>
          <w:rFonts w:ascii="宋体" w:hAnsi="宋体" w:cs="Times" w:hint="eastAsia"/>
          <w:bCs/>
          <w:color w:val="262626"/>
          <w:kern w:val="0"/>
          <w:szCs w:val="21"/>
        </w:rPr>
        <w:t>阿瑟</w:t>
      </w:r>
      <w:r w:rsidRPr="00633EE4">
        <w:rPr>
          <w:rFonts w:ascii="宋体" w:cs="Times"/>
          <w:bCs/>
          <w:color w:val="262626"/>
          <w:kern w:val="0"/>
          <w:szCs w:val="21"/>
        </w:rPr>
        <w:t>•</w:t>
      </w:r>
      <w:r w:rsidRPr="00633EE4">
        <w:rPr>
          <w:rFonts w:ascii="宋体" w:hAnsi="宋体" w:cs="Times" w:hint="eastAsia"/>
          <w:bCs/>
          <w:color w:val="262626"/>
          <w:kern w:val="0"/>
          <w:szCs w:val="21"/>
        </w:rPr>
        <w:t>密勒</w:t>
      </w:r>
      <w:r w:rsidRPr="00633EE4">
        <w:rPr>
          <w:rFonts w:ascii="宋体" w:hAnsi="宋体" w:cs="Times"/>
          <w:bCs/>
          <w:color w:val="262626"/>
          <w:kern w:val="0"/>
          <w:szCs w:val="21"/>
        </w:rPr>
        <w:t xml:space="preserve">  </w:t>
      </w:r>
      <w:r w:rsidRPr="00633EE4">
        <w:rPr>
          <w:rFonts w:ascii="宋体" w:hAnsi="宋体" w:cs="Times" w:hint="eastAsia"/>
          <w:bCs/>
          <w:color w:val="262626"/>
          <w:kern w:val="0"/>
          <w:szCs w:val="21"/>
        </w:rPr>
        <w:t>美国</w:t>
      </w:r>
      <w:r w:rsidRPr="00633EE4">
        <w:rPr>
          <w:rFonts w:ascii="宋体" w:hAnsi="宋体" w:cs="Times"/>
          <w:bCs/>
          <w:color w:val="262626"/>
          <w:kern w:val="0"/>
          <w:szCs w:val="21"/>
        </w:rPr>
        <w:t xml:space="preserve">  </w:t>
      </w:r>
      <w:r w:rsidRPr="00633EE4">
        <w:rPr>
          <w:rFonts w:ascii="宋体" w:hAnsi="宋体" w:cs="Times" w:hint="eastAsia"/>
          <w:bCs/>
          <w:color w:val="262626"/>
          <w:kern w:val="0"/>
          <w:szCs w:val="21"/>
        </w:rPr>
        <w:t>新世纪</w:t>
      </w:r>
      <w:r w:rsidRPr="00633EE4">
        <w:rPr>
          <w:rFonts w:ascii="宋体" w:hAnsi="宋体" w:cs="Times"/>
          <w:bCs/>
          <w:color w:val="262626"/>
          <w:kern w:val="0"/>
          <w:szCs w:val="21"/>
        </w:rPr>
        <w:t xml:space="preserve">  </w:t>
      </w:r>
      <w:r w:rsidRPr="00633EE4">
        <w:rPr>
          <w:rFonts w:ascii="宋体" w:hAnsi="宋体" w:cs="Times" w:hint="eastAsia"/>
          <w:bCs/>
          <w:color w:val="262626"/>
          <w:kern w:val="0"/>
          <w:szCs w:val="21"/>
        </w:rPr>
        <w:t>研究述评</w:t>
      </w:r>
    </w:p>
    <w:p w:rsidR="003C6199" w:rsidRDefault="003C6199" w:rsidP="00633EE4">
      <w:pPr>
        <w:widowControl/>
        <w:autoSpaceDE w:val="0"/>
        <w:autoSpaceDN w:val="0"/>
        <w:adjustRightInd w:val="0"/>
        <w:rPr>
          <w:rFonts w:ascii="宋体" w:eastAsia="黑体" w:hAnsi="宋体" w:cs="Times"/>
          <w:bCs/>
          <w:color w:val="262626"/>
          <w:kern w:val="0"/>
          <w:szCs w:val="21"/>
        </w:rPr>
      </w:pPr>
    </w:p>
    <w:p w:rsidR="003C6199" w:rsidRDefault="003C6199" w:rsidP="008829F0">
      <w:pPr>
        <w:widowControl/>
        <w:autoSpaceDE w:val="0"/>
        <w:autoSpaceDN w:val="0"/>
        <w:adjustRightInd w:val="0"/>
        <w:rPr>
          <w:rFonts w:ascii="黑体" w:eastAsia="黑体" w:hAnsi="宋体" w:cs="Times"/>
          <w:bCs/>
          <w:color w:val="262626"/>
          <w:kern w:val="0"/>
          <w:szCs w:val="21"/>
        </w:rPr>
      </w:pPr>
      <w:r>
        <w:rPr>
          <w:rFonts w:ascii="黑体" w:eastAsia="黑体" w:hAnsi="宋体" w:cs="Times" w:hint="eastAsia"/>
          <w:bCs/>
          <w:color w:val="262626"/>
          <w:kern w:val="0"/>
          <w:szCs w:val="21"/>
        </w:rPr>
        <w:t>走出“荒诞”</w:t>
      </w:r>
      <w:r>
        <w:rPr>
          <w:rFonts w:ascii="黑体" w:eastAsia="黑体" w:hAnsi="宋体" w:cs="Times"/>
          <w:bCs/>
          <w:color w:val="262626"/>
          <w:kern w:val="0"/>
          <w:szCs w:val="21"/>
        </w:rPr>
        <w:t xml:space="preserve">                                                              </w:t>
      </w:r>
      <w:r w:rsidRPr="00633EE4">
        <w:rPr>
          <w:rFonts w:ascii="黑体" w:eastAsia="黑体" w:hAnsi="Times New Roman" w:hint="eastAsia"/>
        </w:rPr>
        <w:t>胡</w:t>
      </w:r>
      <w:r>
        <w:rPr>
          <w:rFonts w:ascii="黑体" w:eastAsia="黑体" w:hAnsi="Times New Roman"/>
        </w:rPr>
        <w:t xml:space="preserve">  </w:t>
      </w:r>
      <w:r w:rsidRPr="00633EE4">
        <w:rPr>
          <w:rFonts w:ascii="黑体" w:eastAsia="黑体" w:hAnsi="Times New Roman" w:hint="eastAsia"/>
        </w:rPr>
        <w:t>静</w:t>
      </w:r>
    </w:p>
    <w:p w:rsidR="003C6199" w:rsidRDefault="003C6199" w:rsidP="008829F0">
      <w:pPr>
        <w:widowControl/>
        <w:autoSpaceDE w:val="0"/>
        <w:autoSpaceDN w:val="0"/>
        <w:adjustRightInd w:val="0"/>
        <w:rPr>
          <w:rFonts w:ascii="黑体" w:eastAsia="黑体" w:hAnsi="宋体" w:cs="Cambria"/>
          <w:color w:val="262626"/>
          <w:kern w:val="0"/>
          <w:szCs w:val="21"/>
        </w:rPr>
      </w:pPr>
      <w:r w:rsidRPr="008829F0">
        <w:rPr>
          <w:rFonts w:ascii="黑体" w:eastAsia="黑体" w:hAnsi="宋体" w:cs="Cambria"/>
          <w:color w:val="262626"/>
          <w:kern w:val="0"/>
          <w:szCs w:val="21"/>
        </w:rPr>
        <w:t>——</w:t>
      </w:r>
      <w:r w:rsidRPr="008829F0">
        <w:rPr>
          <w:rFonts w:ascii="黑体" w:eastAsia="黑体" w:hAnsi="宋体" w:cs="Cambria" w:hint="eastAsia"/>
          <w:color w:val="262626"/>
          <w:kern w:val="0"/>
          <w:szCs w:val="21"/>
        </w:rPr>
        <w:t>论爱德华</w:t>
      </w:r>
      <w:r w:rsidRPr="008829F0">
        <w:rPr>
          <w:rFonts w:ascii="宋体" w:cs="宋体"/>
          <w:color w:val="262626"/>
          <w:kern w:val="0"/>
          <w:szCs w:val="21"/>
        </w:rPr>
        <w:t>•</w:t>
      </w:r>
      <w:r w:rsidRPr="008829F0">
        <w:rPr>
          <w:rFonts w:ascii="黑体" w:eastAsia="黑体" w:hAnsi="黑体" w:cs="黑体" w:hint="eastAsia"/>
          <w:color w:val="262626"/>
          <w:kern w:val="0"/>
          <w:szCs w:val="21"/>
        </w:rPr>
        <w:t>阿尔比戏剧的非荒诞性</w:t>
      </w:r>
    </w:p>
    <w:p w:rsidR="003C6199" w:rsidRPr="008829F0" w:rsidRDefault="003C6199" w:rsidP="008829F0">
      <w:pPr>
        <w:widowControl/>
        <w:autoSpaceDE w:val="0"/>
        <w:autoSpaceDN w:val="0"/>
        <w:adjustRightInd w:val="0"/>
        <w:rPr>
          <w:rFonts w:ascii="黑体" w:eastAsia="黑体" w:hAnsi="宋体" w:cs="Cambria"/>
          <w:color w:val="262626"/>
          <w:kern w:val="0"/>
          <w:szCs w:val="21"/>
        </w:rPr>
      </w:pPr>
    </w:p>
    <w:p w:rsidR="003C6199" w:rsidRPr="007B11B4" w:rsidRDefault="003C6199" w:rsidP="007B11B4">
      <w:pPr>
        <w:rPr>
          <w:rFonts w:ascii="宋体"/>
        </w:rPr>
      </w:pPr>
      <w:r w:rsidRPr="007B11B4">
        <w:rPr>
          <w:rFonts w:ascii="宋体" w:hAnsi="宋体" w:hint="eastAsia"/>
          <w:b/>
        </w:rPr>
        <w:t>内容摘要：</w:t>
      </w:r>
      <w:r w:rsidRPr="007B11B4">
        <w:rPr>
          <w:rFonts w:ascii="宋体" w:hAnsi="宋体" w:hint="eastAsia"/>
        </w:rPr>
        <w:t>在对美国戏剧家爱德华</w:t>
      </w:r>
      <w:r w:rsidRPr="007B11B4">
        <w:rPr>
          <w:rFonts w:ascii="宋体"/>
        </w:rPr>
        <w:t>•</w:t>
      </w:r>
      <w:r w:rsidRPr="007B11B4">
        <w:rPr>
          <w:rFonts w:ascii="宋体" w:hAnsi="宋体" w:hint="eastAsia"/>
        </w:rPr>
        <w:t>阿尔比的研究中，长期存在着将其归入荒诞派戏剧家进行解读的单一化倾向。虽然一些评论家已经对于此提出质疑，但尚未引起足够的重视和讨论。本文认为这样标签式的解读掩盖了阿尔比作品的独特性和自身的发展性，也阻碍了学术界对于阿尔比戏剧的深层挖掘和进一步译介。本文从创作背景、戏剧主题以及表现手法三个方面来梳理根植于美国本土的阿尔比戏剧与起源于欧洲的荒诞派戏剧之间的关系，并提出虽然二者在时间上有重合，但它们在精神实质和戏剧手法上均有诸多差异，不可混为一谈。</w:t>
      </w:r>
    </w:p>
    <w:p w:rsidR="003C6199" w:rsidRPr="007B11B4" w:rsidRDefault="003C6199" w:rsidP="007B11B4">
      <w:pPr>
        <w:rPr>
          <w:rFonts w:ascii="宋体"/>
        </w:rPr>
      </w:pPr>
      <w:r w:rsidRPr="007B11B4">
        <w:rPr>
          <w:rFonts w:ascii="宋体" w:hAnsi="宋体" w:hint="eastAsia"/>
          <w:b/>
        </w:rPr>
        <w:t>关</w:t>
      </w:r>
      <w:r w:rsidRPr="007B11B4">
        <w:rPr>
          <w:rFonts w:ascii="宋体" w:hAnsi="宋体"/>
          <w:b/>
        </w:rPr>
        <w:t xml:space="preserve"> </w:t>
      </w:r>
      <w:r w:rsidRPr="007B11B4">
        <w:rPr>
          <w:rFonts w:ascii="宋体" w:hAnsi="宋体" w:hint="eastAsia"/>
          <w:b/>
        </w:rPr>
        <w:t>键</w:t>
      </w:r>
      <w:r w:rsidRPr="007B11B4">
        <w:rPr>
          <w:rFonts w:ascii="宋体" w:hAnsi="宋体"/>
          <w:b/>
        </w:rPr>
        <w:t xml:space="preserve"> </w:t>
      </w:r>
      <w:r w:rsidRPr="007B11B4">
        <w:rPr>
          <w:rFonts w:ascii="宋体" w:hAnsi="宋体" w:hint="eastAsia"/>
          <w:b/>
        </w:rPr>
        <w:t>词：</w:t>
      </w:r>
      <w:r w:rsidRPr="007B11B4">
        <w:rPr>
          <w:rFonts w:ascii="宋体" w:hAnsi="宋体" w:hint="eastAsia"/>
        </w:rPr>
        <w:t>阿尔比</w:t>
      </w:r>
      <w:r>
        <w:rPr>
          <w:rFonts w:ascii="宋体" w:hAnsi="宋体" w:cs="仿宋"/>
        </w:rPr>
        <w:t xml:space="preserve">  </w:t>
      </w:r>
      <w:r>
        <w:rPr>
          <w:rFonts w:ascii="宋体" w:hAnsi="宋体" w:cs="仿宋" w:hint="eastAsia"/>
        </w:rPr>
        <w:t>荒诞派</w:t>
      </w:r>
      <w:r>
        <w:rPr>
          <w:rFonts w:ascii="宋体" w:hAnsi="宋体" w:cs="仿宋"/>
        </w:rPr>
        <w:t xml:space="preserve">  </w:t>
      </w:r>
      <w:r>
        <w:rPr>
          <w:rFonts w:ascii="宋体" w:hAnsi="宋体" w:cs="仿宋" w:hint="eastAsia"/>
        </w:rPr>
        <w:t>背景</w:t>
      </w:r>
      <w:r>
        <w:rPr>
          <w:rFonts w:ascii="宋体" w:hAnsi="宋体" w:cs="仿宋"/>
        </w:rPr>
        <w:t xml:space="preserve">  </w:t>
      </w:r>
      <w:r>
        <w:rPr>
          <w:rFonts w:ascii="宋体" w:hAnsi="宋体" w:cs="仿宋" w:hint="eastAsia"/>
        </w:rPr>
        <w:t>主题</w:t>
      </w:r>
      <w:r>
        <w:rPr>
          <w:rFonts w:ascii="宋体" w:hAnsi="宋体" w:cs="仿宋"/>
        </w:rPr>
        <w:t xml:space="preserve">  </w:t>
      </w:r>
      <w:r w:rsidRPr="007B11B4">
        <w:rPr>
          <w:rFonts w:ascii="宋体" w:hAnsi="宋体" w:cs="仿宋" w:hint="eastAsia"/>
        </w:rPr>
        <w:t>技巧</w:t>
      </w:r>
    </w:p>
    <w:p w:rsidR="003C6199" w:rsidRDefault="003C6199" w:rsidP="00517685"/>
    <w:p w:rsidR="003C6199" w:rsidRDefault="003C6199" w:rsidP="002E751C">
      <w:pPr>
        <w:rPr>
          <w:rFonts w:ascii="黑体" w:eastAsia="黑体"/>
        </w:rPr>
      </w:pPr>
      <w:r w:rsidRPr="007B11B4">
        <w:rPr>
          <w:rFonts w:ascii="黑体" w:eastAsia="黑体" w:hint="eastAsia"/>
        </w:rPr>
        <w:t>女性</w:t>
      </w:r>
      <w:r w:rsidRPr="007B11B4">
        <w:rPr>
          <w:rFonts w:ascii="黑体"/>
        </w:rPr>
        <w:t>•</w:t>
      </w:r>
      <w:r w:rsidRPr="007B11B4">
        <w:rPr>
          <w:rFonts w:ascii="黑体" w:eastAsia="黑体" w:hint="eastAsia"/>
        </w:rPr>
        <w:t>欲望</w:t>
      </w:r>
      <w:r w:rsidRPr="007B11B4">
        <w:rPr>
          <w:rFonts w:ascii="黑体"/>
        </w:rPr>
        <w:t>•</w:t>
      </w:r>
      <w:r w:rsidRPr="007B11B4">
        <w:rPr>
          <w:rFonts w:ascii="黑体" w:eastAsia="黑体" w:hint="eastAsia"/>
        </w:rPr>
        <w:t>主体</w:t>
      </w:r>
      <w:r>
        <w:rPr>
          <w:rFonts w:ascii="黑体" w:eastAsia="黑体"/>
        </w:rPr>
        <w:t xml:space="preserve">                                                           </w:t>
      </w:r>
      <w:r w:rsidRPr="007B11B4">
        <w:rPr>
          <w:rFonts w:ascii="黑体" w:eastAsia="黑体" w:hAnsi="宋体" w:hint="eastAsia"/>
        </w:rPr>
        <w:t>刘永杰</w:t>
      </w:r>
    </w:p>
    <w:p w:rsidR="003C6199" w:rsidRDefault="003C6199" w:rsidP="002E751C">
      <w:pPr>
        <w:rPr>
          <w:rFonts w:ascii="黑体" w:eastAsia="黑体"/>
        </w:rPr>
      </w:pPr>
      <w:r w:rsidRPr="002E3260">
        <w:rPr>
          <w:rFonts w:ascii="黑体" w:eastAsia="黑体"/>
        </w:rPr>
        <w:t>——</w:t>
      </w:r>
      <w:r w:rsidRPr="002E3260">
        <w:rPr>
          <w:rFonts w:ascii="黑体" w:eastAsia="黑体" w:hint="eastAsia"/>
        </w:rPr>
        <w:t>《奇异的插曲》</w:t>
      </w:r>
      <w:r w:rsidRPr="007B11B4">
        <w:rPr>
          <w:rFonts w:ascii="黑体" w:eastAsia="黑体" w:hint="eastAsia"/>
        </w:rPr>
        <w:t>的女性欲望叙事</w:t>
      </w:r>
    </w:p>
    <w:p w:rsidR="003C6199" w:rsidRPr="009918B5" w:rsidRDefault="003C6199" w:rsidP="002E751C">
      <w:pPr>
        <w:rPr>
          <w:rFonts w:ascii="黑体" w:eastAsia="黑体"/>
          <w:szCs w:val="21"/>
        </w:rPr>
      </w:pPr>
    </w:p>
    <w:p w:rsidR="003C6199" w:rsidRPr="007B11B4" w:rsidRDefault="003C6199" w:rsidP="007B11B4">
      <w:pPr>
        <w:rPr>
          <w:rFonts w:ascii="宋体"/>
          <w:szCs w:val="21"/>
        </w:rPr>
      </w:pPr>
      <w:r w:rsidRPr="007B11B4">
        <w:rPr>
          <w:rFonts w:ascii="宋体" w:hAnsi="宋体" w:hint="eastAsia"/>
          <w:b/>
          <w:szCs w:val="21"/>
        </w:rPr>
        <w:t>内容摘要：</w:t>
      </w:r>
      <w:r w:rsidRPr="007B11B4">
        <w:rPr>
          <w:rFonts w:ascii="宋体" w:hAnsi="宋体" w:hint="eastAsia"/>
          <w:szCs w:val="21"/>
        </w:rPr>
        <w:t>《奇异的插曲》是美国现代戏剧之父尤金</w:t>
      </w:r>
      <w:r w:rsidRPr="007B11B4">
        <w:rPr>
          <w:rFonts w:ascii="宋体"/>
          <w:szCs w:val="21"/>
        </w:rPr>
        <w:t>•</w:t>
      </w:r>
      <w:r w:rsidRPr="007B11B4">
        <w:rPr>
          <w:rFonts w:ascii="宋体" w:hAnsi="宋体" w:hint="eastAsia"/>
          <w:szCs w:val="21"/>
        </w:rPr>
        <w:t>奥尼尔最著名的心理探索剧。主人公尼娜凭自身女性的姿色和肉体的诱惑先后控制了生活中的多位男性，整个剧本是以尼娜为代表的女性欲望叙事。奥尼尔一反男性叙事对女性的贬抑，将尼娜置于欲望叙事的中心，书写了尼娜依靠女性的魅力和诱惑追寻自我的故事。尼娜大胆打破了女性“失语”的男权叙事神话，发出了女性争取自我和性别平等的声音。故事的结局表明，人类只有回归童年和自然，具有双性的心理，才能实现两性的和谐和体会人生的意义。</w:t>
      </w:r>
    </w:p>
    <w:p w:rsidR="003C6199" w:rsidRDefault="003C6199" w:rsidP="002E751C">
      <w:pPr>
        <w:rPr>
          <w:rFonts w:ascii="宋体"/>
          <w:szCs w:val="21"/>
        </w:rPr>
      </w:pPr>
      <w:r w:rsidRPr="007B11B4">
        <w:rPr>
          <w:rFonts w:ascii="宋体" w:hAnsi="宋体" w:hint="eastAsia"/>
          <w:b/>
          <w:szCs w:val="21"/>
        </w:rPr>
        <w:t>关键词：</w:t>
      </w:r>
      <w:r w:rsidRPr="007B11B4">
        <w:rPr>
          <w:rFonts w:ascii="宋体" w:hAnsi="宋体" w:hint="eastAsia"/>
          <w:szCs w:val="21"/>
        </w:rPr>
        <w:t>《奇异的插曲》</w:t>
      </w:r>
      <w:r w:rsidRPr="007B11B4">
        <w:rPr>
          <w:rFonts w:ascii="宋体" w:hAnsi="宋体"/>
          <w:szCs w:val="21"/>
        </w:rPr>
        <w:t xml:space="preserve"> </w:t>
      </w:r>
      <w:r w:rsidRPr="007B11B4">
        <w:rPr>
          <w:rFonts w:ascii="宋体" w:hAnsi="宋体" w:hint="eastAsia"/>
          <w:szCs w:val="21"/>
        </w:rPr>
        <w:t>女性欲望叙事</w:t>
      </w:r>
      <w:r>
        <w:rPr>
          <w:rFonts w:ascii="宋体" w:hAnsi="宋体"/>
          <w:szCs w:val="21"/>
        </w:rPr>
        <w:t xml:space="preserve"> </w:t>
      </w:r>
      <w:r w:rsidRPr="007B11B4">
        <w:rPr>
          <w:rFonts w:ascii="宋体" w:hAnsi="宋体"/>
          <w:szCs w:val="21"/>
        </w:rPr>
        <w:t xml:space="preserve"> </w:t>
      </w:r>
      <w:r w:rsidRPr="007B11B4">
        <w:rPr>
          <w:rFonts w:ascii="宋体" w:hAnsi="宋体" w:hint="eastAsia"/>
          <w:szCs w:val="21"/>
        </w:rPr>
        <w:t>自我</w:t>
      </w:r>
      <w:r>
        <w:rPr>
          <w:rFonts w:ascii="宋体" w:hAnsi="宋体"/>
          <w:szCs w:val="21"/>
        </w:rPr>
        <w:t xml:space="preserve"> </w:t>
      </w:r>
      <w:r w:rsidRPr="007B11B4">
        <w:rPr>
          <w:rFonts w:ascii="宋体" w:hAnsi="宋体"/>
          <w:szCs w:val="21"/>
        </w:rPr>
        <w:t xml:space="preserve"> </w:t>
      </w:r>
      <w:r w:rsidRPr="007B11B4">
        <w:rPr>
          <w:rFonts w:ascii="宋体" w:hAnsi="宋体" w:hint="eastAsia"/>
          <w:szCs w:val="21"/>
        </w:rPr>
        <w:t>女性话语</w:t>
      </w:r>
      <w:r w:rsidRPr="007B11B4">
        <w:rPr>
          <w:rFonts w:ascii="宋体" w:hAnsi="宋体"/>
          <w:szCs w:val="21"/>
        </w:rPr>
        <w:t xml:space="preserve"> </w:t>
      </w:r>
      <w:r>
        <w:rPr>
          <w:rFonts w:ascii="宋体" w:hAnsi="宋体"/>
          <w:szCs w:val="21"/>
        </w:rPr>
        <w:t xml:space="preserve"> </w:t>
      </w:r>
      <w:r w:rsidRPr="007B11B4">
        <w:rPr>
          <w:rFonts w:ascii="宋体" w:hAnsi="宋体" w:hint="eastAsia"/>
          <w:szCs w:val="21"/>
        </w:rPr>
        <w:t>精神回归</w:t>
      </w:r>
      <w:r>
        <w:rPr>
          <w:rFonts w:ascii="宋体" w:hAnsi="宋体"/>
          <w:szCs w:val="21"/>
        </w:rPr>
        <w:t xml:space="preserve"> </w:t>
      </w:r>
      <w:r w:rsidRPr="007B11B4">
        <w:rPr>
          <w:rFonts w:ascii="宋体" w:hAnsi="宋体"/>
          <w:szCs w:val="21"/>
        </w:rPr>
        <w:t xml:space="preserve"> </w:t>
      </w:r>
      <w:r w:rsidRPr="007B11B4">
        <w:rPr>
          <w:rFonts w:ascii="宋体" w:hAnsi="宋体" w:hint="eastAsia"/>
          <w:szCs w:val="21"/>
        </w:rPr>
        <w:t>双性同体</w:t>
      </w:r>
    </w:p>
    <w:p w:rsidR="003C6199" w:rsidRDefault="003C6199" w:rsidP="002E751C">
      <w:pPr>
        <w:rPr>
          <w:rFonts w:ascii="宋体"/>
          <w:szCs w:val="21"/>
        </w:rPr>
      </w:pPr>
    </w:p>
    <w:p w:rsidR="003C6199" w:rsidRDefault="003C6199" w:rsidP="002E751C">
      <w:pPr>
        <w:rPr>
          <w:rFonts w:ascii="黑体" w:eastAsia="黑体" w:hAnsi="宋体"/>
          <w:szCs w:val="21"/>
        </w:rPr>
      </w:pPr>
      <w:r w:rsidRPr="00705328">
        <w:rPr>
          <w:rFonts w:ascii="黑体" w:eastAsia="黑体" w:hAnsi="宋体" w:hint="eastAsia"/>
          <w:szCs w:val="21"/>
        </w:rPr>
        <w:t>“进入黑夜的漫长旅程”</w:t>
      </w:r>
      <w:r w:rsidRPr="008829F0">
        <w:rPr>
          <w:rFonts w:ascii="黑体" w:eastAsia="黑体" w:hAnsi="宋体"/>
          <w:szCs w:val="21"/>
        </w:rPr>
        <w:t xml:space="preserve"> </w:t>
      </w:r>
      <w:r>
        <w:rPr>
          <w:rFonts w:ascii="黑体" w:eastAsia="黑体" w:hAnsi="宋体"/>
          <w:szCs w:val="21"/>
        </w:rPr>
        <w:t xml:space="preserve">                                                   </w:t>
      </w:r>
      <w:r w:rsidRPr="00705328">
        <w:rPr>
          <w:rFonts w:ascii="黑体" w:eastAsia="黑体" w:hAnsi="宋体" w:hint="eastAsia"/>
          <w:szCs w:val="21"/>
        </w:rPr>
        <w:t>邹鲁路</w:t>
      </w:r>
    </w:p>
    <w:p w:rsidR="003C6199" w:rsidRDefault="003C6199" w:rsidP="002E751C">
      <w:pPr>
        <w:rPr>
          <w:rFonts w:ascii="黑体" w:eastAsia="黑体" w:hAnsi="宋体"/>
          <w:szCs w:val="21"/>
        </w:rPr>
      </w:pPr>
      <w:r w:rsidRPr="00705328">
        <w:rPr>
          <w:rFonts w:ascii="黑体" w:eastAsia="黑体" w:hAnsi="宋体"/>
          <w:szCs w:val="21"/>
        </w:rPr>
        <w:t>——</w:t>
      </w:r>
      <w:r w:rsidRPr="00705328">
        <w:rPr>
          <w:rFonts w:ascii="黑体" w:eastAsia="黑体" w:hAnsi="宋体" w:hint="eastAsia"/>
          <w:szCs w:val="21"/>
        </w:rPr>
        <w:t>戏剧家</w:t>
      </w:r>
      <w:r>
        <w:rPr>
          <w:rFonts w:ascii="黑体" w:eastAsia="黑体" w:hint="eastAsia"/>
          <w:szCs w:val="21"/>
        </w:rPr>
        <w:t>、</w:t>
      </w:r>
      <w:r w:rsidRPr="00705328">
        <w:rPr>
          <w:rFonts w:ascii="黑体" w:eastAsia="黑体" w:hAnsi="宋体" w:hint="eastAsia"/>
          <w:szCs w:val="21"/>
        </w:rPr>
        <w:t>小说家</w:t>
      </w:r>
      <w:r>
        <w:rPr>
          <w:rFonts w:ascii="黑体" w:eastAsia="黑体" w:hint="eastAsia"/>
          <w:szCs w:val="21"/>
        </w:rPr>
        <w:t>、</w:t>
      </w:r>
      <w:r w:rsidRPr="00705328">
        <w:rPr>
          <w:rFonts w:ascii="黑体" w:eastAsia="黑体" w:hAnsi="宋体" w:hint="eastAsia"/>
          <w:szCs w:val="21"/>
        </w:rPr>
        <w:t>诗人福瑟</w:t>
      </w:r>
    </w:p>
    <w:p w:rsidR="003C6199" w:rsidRPr="008829F0" w:rsidRDefault="003C6199" w:rsidP="002E751C">
      <w:pPr>
        <w:rPr>
          <w:rFonts w:ascii="黑体" w:eastAsia="黑体"/>
          <w:szCs w:val="21"/>
        </w:rPr>
      </w:pPr>
    </w:p>
    <w:p w:rsidR="003C6199" w:rsidRPr="00705328" w:rsidRDefault="003C6199" w:rsidP="00705328">
      <w:pPr>
        <w:rPr>
          <w:rFonts w:ascii="宋体"/>
        </w:rPr>
      </w:pPr>
      <w:r w:rsidRPr="00705328">
        <w:rPr>
          <w:rFonts w:ascii="宋体" w:hAnsi="宋体" w:hint="eastAsia"/>
          <w:b/>
        </w:rPr>
        <w:t>内容摘要</w:t>
      </w:r>
      <w:r w:rsidRPr="00705328">
        <w:rPr>
          <w:rFonts w:ascii="宋体" w:hAnsi="宋体"/>
          <w:b/>
        </w:rPr>
        <w:t xml:space="preserve">: </w:t>
      </w:r>
      <w:r w:rsidRPr="00705328">
        <w:rPr>
          <w:rFonts w:ascii="宋体" w:hAnsi="宋体" w:hint="eastAsia"/>
        </w:rPr>
        <w:t>福瑟是当代欧美剧坛最伟大的在世剧作家。本文作为福瑟系列研究文章的第二篇，将对其包括戏剧在内的整个文学历程首次进行完整梳理，并对其最有代表性的小说作品进行简要分析，以揭示它们与福瑟戏剧作品之间在语言风格，主题和结构等方面密不可分的联系。</w:t>
      </w:r>
    </w:p>
    <w:p w:rsidR="003C6199" w:rsidRPr="005C5D63" w:rsidRDefault="003C6199" w:rsidP="002E751C">
      <w:pPr>
        <w:rPr>
          <w:rFonts w:ascii="宋体"/>
        </w:rPr>
      </w:pPr>
      <w:r w:rsidRPr="00705328">
        <w:rPr>
          <w:rFonts w:ascii="宋体" w:hAnsi="宋体" w:hint="eastAsia"/>
          <w:b/>
        </w:rPr>
        <w:t>关</w:t>
      </w:r>
      <w:r>
        <w:rPr>
          <w:rFonts w:ascii="宋体" w:hAnsi="宋体"/>
          <w:b/>
        </w:rPr>
        <w:t xml:space="preserve"> </w:t>
      </w:r>
      <w:r w:rsidRPr="00705328">
        <w:rPr>
          <w:rFonts w:ascii="宋体" w:hAnsi="宋体" w:hint="eastAsia"/>
          <w:b/>
        </w:rPr>
        <w:t>键</w:t>
      </w:r>
      <w:r>
        <w:rPr>
          <w:rFonts w:ascii="宋体" w:hAnsi="宋体"/>
          <w:b/>
        </w:rPr>
        <w:t xml:space="preserve"> </w:t>
      </w:r>
      <w:r w:rsidRPr="00705328">
        <w:rPr>
          <w:rFonts w:ascii="宋体" w:hAnsi="宋体" w:hint="eastAsia"/>
          <w:b/>
        </w:rPr>
        <w:t>词</w:t>
      </w:r>
      <w:r>
        <w:rPr>
          <w:rFonts w:ascii="宋体" w:hAnsi="宋体" w:hint="eastAsia"/>
          <w:b/>
        </w:rPr>
        <w:t>：</w:t>
      </w:r>
      <w:r>
        <w:rPr>
          <w:rFonts w:ascii="宋体" w:hAnsi="宋体" w:hint="eastAsia"/>
        </w:rPr>
        <w:t>福瑟</w:t>
      </w:r>
      <w:r>
        <w:rPr>
          <w:rFonts w:ascii="宋体" w:hAnsi="宋体"/>
        </w:rPr>
        <w:t xml:space="preserve">  </w:t>
      </w:r>
      <w:r>
        <w:rPr>
          <w:rFonts w:ascii="宋体" w:hAnsi="宋体" w:hint="eastAsia"/>
        </w:rPr>
        <w:t>戏剧</w:t>
      </w:r>
      <w:r>
        <w:rPr>
          <w:rFonts w:ascii="宋体" w:hAnsi="宋体"/>
        </w:rPr>
        <w:t xml:space="preserve">  </w:t>
      </w:r>
      <w:r>
        <w:rPr>
          <w:rFonts w:ascii="宋体" w:hAnsi="宋体" w:hint="eastAsia"/>
        </w:rPr>
        <w:t>小说</w:t>
      </w:r>
      <w:r>
        <w:rPr>
          <w:rFonts w:ascii="宋体" w:hAnsi="宋体"/>
        </w:rPr>
        <w:t xml:space="preserve">  </w:t>
      </w:r>
      <w:r w:rsidRPr="00705328">
        <w:rPr>
          <w:rFonts w:ascii="宋体" w:hAnsi="宋体" w:hint="eastAsia"/>
        </w:rPr>
        <w:t>诗歌</w:t>
      </w:r>
    </w:p>
    <w:p w:rsidR="003C6199" w:rsidRPr="00B50D0C" w:rsidRDefault="003C6199" w:rsidP="002E751C"/>
    <w:p w:rsidR="003C6199" w:rsidRPr="0067066A" w:rsidRDefault="003C6199" w:rsidP="00FE20D2">
      <w:pPr>
        <w:rPr>
          <w:b/>
          <w:sz w:val="24"/>
          <w:szCs w:val="24"/>
        </w:rPr>
      </w:pPr>
      <w:r w:rsidRPr="0067066A">
        <w:rPr>
          <w:rFonts w:hint="eastAsia"/>
          <w:b/>
          <w:sz w:val="24"/>
          <w:szCs w:val="24"/>
        </w:rPr>
        <w:t>戏剧管理研究</w:t>
      </w:r>
    </w:p>
    <w:p w:rsidR="003C6199" w:rsidRDefault="003C6199" w:rsidP="00FE20D2"/>
    <w:p w:rsidR="003C6199" w:rsidRPr="005E2D7F" w:rsidRDefault="003C6199" w:rsidP="00FE20D2">
      <w:pPr>
        <w:rPr>
          <w:rFonts w:ascii="黑体" w:eastAsia="黑体"/>
        </w:rPr>
      </w:pPr>
      <w:r w:rsidRPr="005E2D7F">
        <w:rPr>
          <w:rFonts w:ascii="黑体" w:eastAsia="黑体" w:hint="eastAsia"/>
        </w:rPr>
        <w:t>主流戏剧的”风向标”</w:t>
      </w:r>
      <w:r w:rsidRPr="005E2D7F">
        <w:rPr>
          <w:rFonts w:ascii="黑体" w:eastAsia="黑体"/>
        </w:rPr>
        <w:t xml:space="preserve">                                                      </w:t>
      </w:r>
      <w:r w:rsidRPr="005E2D7F">
        <w:rPr>
          <w:rFonts w:ascii="黑体" w:eastAsia="黑体" w:hint="eastAsia"/>
        </w:rPr>
        <w:t>许诗焱</w:t>
      </w:r>
    </w:p>
    <w:p w:rsidR="003C6199" w:rsidRPr="0067066A" w:rsidRDefault="003C6199" w:rsidP="00FE20D2">
      <w:pPr>
        <w:rPr>
          <w:rFonts w:ascii="黑体" w:eastAsia="黑体"/>
        </w:rPr>
      </w:pPr>
      <w:r w:rsidRPr="002E3260">
        <w:rPr>
          <w:rFonts w:ascii="黑体" w:eastAsia="黑体"/>
        </w:rPr>
        <w:t>——</w:t>
      </w:r>
      <w:r w:rsidRPr="005E2D7F">
        <w:rPr>
          <w:rFonts w:ascii="黑体" w:eastAsia="黑体"/>
        </w:rPr>
        <w:t>21</w:t>
      </w:r>
      <w:r w:rsidRPr="005E2D7F">
        <w:rPr>
          <w:rFonts w:ascii="黑体" w:eastAsia="黑体" w:hint="eastAsia"/>
        </w:rPr>
        <w:t>世纪普利策戏剧奖研究</w:t>
      </w:r>
    </w:p>
    <w:p w:rsidR="003C6199" w:rsidRDefault="003C6199" w:rsidP="00FE20D2">
      <w:pPr>
        <w:rPr>
          <w:rFonts w:ascii="宋体" w:cs="宋体"/>
          <w:szCs w:val="21"/>
        </w:rPr>
      </w:pPr>
    </w:p>
    <w:p w:rsidR="003C6199" w:rsidRPr="0067066A" w:rsidRDefault="003C6199" w:rsidP="0067066A">
      <w:pPr>
        <w:rPr>
          <w:rFonts w:ascii="宋体" w:cs="宋体"/>
          <w:szCs w:val="21"/>
        </w:rPr>
      </w:pPr>
      <w:r w:rsidRPr="0067066A">
        <w:rPr>
          <w:rFonts w:ascii="宋体" w:hAnsi="宋体" w:cs="宋体" w:hint="eastAsia"/>
          <w:b/>
          <w:szCs w:val="21"/>
        </w:rPr>
        <w:t>内容提要：</w:t>
      </w:r>
      <w:r w:rsidRPr="0067066A">
        <w:rPr>
          <w:rFonts w:ascii="宋体" w:hAnsi="宋体" w:cs="宋体" w:hint="eastAsia"/>
          <w:szCs w:val="21"/>
        </w:rPr>
        <w:t>普利策戏剧奖自</w:t>
      </w:r>
      <w:r w:rsidRPr="0067066A">
        <w:rPr>
          <w:rFonts w:ascii="宋体" w:hAnsi="宋体" w:cs="宋体"/>
          <w:szCs w:val="21"/>
        </w:rPr>
        <w:t>1917</w:t>
      </w:r>
      <w:r w:rsidRPr="0067066A">
        <w:rPr>
          <w:rFonts w:ascii="宋体" w:hAnsi="宋体" w:cs="宋体" w:hint="eastAsia"/>
          <w:szCs w:val="21"/>
        </w:rPr>
        <w:t>年设立以来，一贯旨在颁发给那些“由美国本土作家撰写的、素材背景最能反映美国当代生活的杰出戏剧”。进入</w:t>
      </w:r>
      <w:r w:rsidRPr="0067066A">
        <w:rPr>
          <w:rFonts w:ascii="宋体" w:hAnsi="宋体" w:cs="宋体"/>
          <w:szCs w:val="21"/>
        </w:rPr>
        <w:t>21</w:t>
      </w:r>
      <w:r w:rsidRPr="0067066A">
        <w:rPr>
          <w:rFonts w:ascii="宋体" w:hAnsi="宋体" w:cs="宋体" w:hint="eastAsia"/>
          <w:szCs w:val="21"/>
        </w:rPr>
        <w:t>世纪以来，虽然普利策戏剧奖的评奖原则并未改变，但随着时代的变迁和戏剧自身的发展，该奖项在获奖作家、获奖剧作及评奖标准等方面均呈现出一些新的特点。通过对这些新的特点进行分析，不仅可以探究美国当代主流戏剧的总体发展趋势，同时也能为中国主流戏剧的发展提供借鉴与思考。</w:t>
      </w:r>
    </w:p>
    <w:p w:rsidR="003C6199" w:rsidRPr="0067066A" w:rsidRDefault="003C6199" w:rsidP="0067066A">
      <w:pPr>
        <w:rPr>
          <w:rFonts w:ascii="宋体" w:cs="宋体"/>
          <w:szCs w:val="21"/>
        </w:rPr>
      </w:pPr>
      <w:r w:rsidRPr="0067066A">
        <w:rPr>
          <w:rFonts w:ascii="宋体" w:hAnsi="宋体" w:cs="宋体" w:hint="eastAsia"/>
          <w:b/>
          <w:szCs w:val="21"/>
        </w:rPr>
        <w:t>关</w:t>
      </w:r>
      <w:r>
        <w:rPr>
          <w:rFonts w:ascii="宋体" w:hAnsi="宋体" w:cs="宋体"/>
          <w:b/>
          <w:szCs w:val="21"/>
        </w:rPr>
        <w:t xml:space="preserve"> </w:t>
      </w:r>
      <w:r w:rsidRPr="0067066A">
        <w:rPr>
          <w:rFonts w:ascii="宋体" w:hAnsi="宋体" w:cs="宋体" w:hint="eastAsia"/>
          <w:b/>
          <w:szCs w:val="21"/>
        </w:rPr>
        <w:t>键</w:t>
      </w:r>
      <w:r>
        <w:rPr>
          <w:rFonts w:ascii="宋体" w:hAnsi="宋体" w:cs="宋体"/>
          <w:b/>
          <w:szCs w:val="21"/>
        </w:rPr>
        <w:t xml:space="preserve"> </w:t>
      </w:r>
      <w:r w:rsidRPr="0067066A">
        <w:rPr>
          <w:rFonts w:ascii="宋体" w:hAnsi="宋体" w:cs="宋体" w:hint="eastAsia"/>
          <w:b/>
          <w:szCs w:val="21"/>
        </w:rPr>
        <w:t>词：</w:t>
      </w:r>
      <w:r w:rsidRPr="0067066A">
        <w:rPr>
          <w:rFonts w:ascii="宋体" w:hAnsi="宋体" w:cs="宋体" w:hint="eastAsia"/>
          <w:szCs w:val="21"/>
        </w:rPr>
        <w:t>普利策戏剧奖</w:t>
      </w:r>
      <w:r>
        <w:rPr>
          <w:rFonts w:ascii="宋体" w:hAnsi="宋体" w:cs="宋体"/>
          <w:szCs w:val="21"/>
        </w:rPr>
        <w:t xml:space="preserve">  </w:t>
      </w:r>
      <w:r w:rsidRPr="0067066A">
        <w:rPr>
          <w:rFonts w:ascii="宋体" w:hAnsi="宋体" w:cs="宋体"/>
          <w:szCs w:val="21"/>
        </w:rPr>
        <w:t>21</w:t>
      </w:r>
      <w:r w:rsidRPr="0067066A">
        <w:rPr>
          <w:rFonts w:ascii="宋体" w:hAnsi="宋体" w:cs="宋体" w:hint="eastAsia"/>
          <w:szCs w:val="21"/>
        </w:rPr>
        <w:t>世纪</w:t>
      </w:r>
      <w:r>
        <w:rPr>
          <w:rFonts w:ascii="宋体" w:hAnsi="宋体" w:cs="宋体"/>
          <w:szCs w:val="21"/>
        </w:rPr>
        <w:t xml:space="preserve">  </w:t>
      </w:r>
      <w:r w:rsidRPr="0067066A">
        <w:rPr>
          <w:rFonts w:ascii="宋体" w:hAnsi="宋体" w:cs="宋体" w:hint="eastAsia"/>
          <w:szCs w:val="21"/>
        </w:rPr>
        <w:t>主流戏剧</w:t>
      </w:r>
    </w:p>
    <w:p w:rsidR="003C6199" w:rsidRDefault="003C6199" w:rsidP="00FE20D2">
      <w:pPr>
        <w:rPr>
          <w:rFonts w:ascii="宋体" w:cs="宋体"/>
          <w:szCs w:val="21"/>
        </w:rPr>
      </w:pPr>
    </w:p>
    <w:p w:rsidR="003C6199" w:rsidRPr="0067066A" w:rsidRDefault="003C6199" w:rsidP="00FE20D2">
      <w:pPr>
        <w:rPr>
          <w:rFonts w:ascii="黑体" w:eastAsia="黑体" w:cs="宋体"/>
          <w:szCs w:val="21"/>
        </w:rPr>
      </w:pPr>
      <w:r>
        <w:rPr>
          <w:rFonts w:ascii="黑体" w:eastAsia="黑体" w:hAnsi="宋体" w:cs="宋体" w:hint="eastAsia"/>
          <w:szCs w:val="21"/>
        </w:rPr>
        <w:t>当</w:t>
      </w:r>
      <w:r w:rsidRPr="0067066A">
        <w:rPr>
          <w:rFonts w:ascii="黑体" w:eastAsia="黑体" w:hAnsi="宋体" w:cs="宋体" w:hint="eastAsia"/>
          <w:szCs w:val="21"/>
        </w:rPr>
        <w:t>代美国戏剧奖概述</w:t>
      </w:r>
      <w:r w:rsidRPr="0067066A">
        <w:rPr>
          <w:rFonts w:ascii="黑体" w:eastAsia="黑体" w:hAnsi="宋体" w:cs="宋体"/>
          <w:szCs w:val="21"/>
        </w:rPr>
        <w:t xml:space="preserve">  </w:t>
      </w:r>
      <w:r>
        <w:rPr>
          <w:rFonts w:ascii="黑体" w:eastAsia="黑体" w:hAnsi="宋体" w:cs="宋体"/>
          <w:szCs w:val="21"/>
        </w:rPr>
        <w:t xml:space="preserve">                                                     </w:t>
      </w:r>
      <w:r w:rsidRPr="0067066A">
        <w:rPr>
          <w:rFonts w:ascii="黑体" w:eastAsia="黑体" w:hAnsi="宋体" w:cs="宋体" w:hint="eastAsia"/>
          <w:szCs w:val="21"/>
        </w:rPr>
        <w:t>韩</w:t>
      </w:r>
      <w:r>
        <w:rPr>
          <w:rFonts w:ascii="黑体" w:eastAsia="黑体" w:hAnsi="宋体" w:cs="宋体"/>
          <w:szCs w:val="21"/>
        </w:rPr>
        <w:t xml:space="preserve">  </w:t>
      </w:r>
      <w:r w:rsidRPr="0067066A">
        <w:rPr>
          <w:rFonts w:ascii="黑体" w:eastAsia="黑体" w:hAnsi="宋体" w:cs="宋体" w:hint="eastAsia"/>
          <w:szCs w:val="21"/>
        </w:rPr>
        <w:t>曦</w:t>
      </w:r>
    </w:p>
    <w:p w:rsidR="003C6199" w:rsidRDefault="003C6199" w:rsidP="00E071ED"/>
    <w:p w:rsidR="003C6199" w:rsidRDefault="003C6199" w:rsidP="0067066A">
      <w:r w:rsidRPr="0067066A">
        <w:rPr>
          <w:rFonts w:hint="eastAsia"/>
          <w:b/>
        </w:rPr>
        <w:t>内容提要：</w:t>
      </w:r>
      <w:r>
        <w:rPr>
          <w:rFonts w:hint="eastAsia"/>
        </w:rPr>
        <w:t>戏剧奖在当代美国戏剧发展中占有重要地位。本文分类介绍了活跃在美国戏剧界的主要戏剧奖项以及与戏剧社团、百老汇、外百老汇、地方戏剧的关系，分析并描述了它们在推动戏剧创作，提升舞台艺术，扩大戏剧影响力方面所发挥的作用。</w:t>
      </w:r>
    </w:p>
    <w:p w:rsidR="003C6199" w:rsidRDefault="003C6199" w:rsidP="0067066A">
      <w:r>
        <w:rPr>
          <w:rFonts w:hint="eastAsia"/>
          <w:b/>
        </w:rPr>
        <w:t>关</w:t>
      </w:r>
      <w:r>
        <w:rPr>
          <w:b/>
        </w:rPr>
        <w:t xml:space="preserve"> </w:t>
      </w:r>
      <w:r>
        <w:rPr>
          <w:rFonts w:hint="eastAsia"/>
          <w:b/>
        </w:rPr>
        <w:t>键</w:t>
      </w:r>
      <w:r>
        <w:rPr>
          <w:b/>
        </w:rPr>
        <w:t xml:space="preserve"> </w:t>
      </w:r>
      <w:r w:rsidRPr="0067066A">
        <w:rPr>
          <w:rFonts w:hint="eastAsia"/>
          <w:b/>
        </w:rPr>
        <w:t>词</w:t>
      </w:r>
      <w:r>
        <w:rPr>
          <w:rFonts w:hint="eastAsia"/>
          <w:b/>
        </w:rPr>
        <w:t>：</w:t>
      </w:r>
      <w:r>
        <w:rPr>
          <w:rFonts w:hint="eastAsia"/>
        </w:rPr>
        <w:t>当代美国戏剧</w:t>
      </w:r>
      <w:r>
        <w:t xml:space="preserve">  </w:t>
      </w:r>
      <w:r>
        <w:rPr>
          <w:rFonts w:hint="eastAsia"/>
        </w:rPr>
        <w:t>戏剧奖</w:t>
      </w:r>
      <w:r>
        <w:t xml:space="preserve">  </w:t>
      </w:r>
      <w:r>
        <w:rPr>
          <w:rFonts w:hint="eastAsia"/>
        </w:rPr>
        <w:t>戏剧社团</w:t>
      </w:r>
    </w:p>
    <w:p w:rsidR="003C6199" w:rsidRDefault="003C6199" w:rsidP="00E071ED"/>
    <w:p w:rsidR="003C6199" w:rsidRPr="00814A46" w:rsidRDefault="003C6199" w:rsidP="00E071ED">
      <w:pPr>
        <w:rPr>
          <w:b/>
          <w:sz w:val="24"/>
          <w:szCs w:val="24"/>
        </w:rPr>
      </w:pPr>
      <w:r w:rsidRPr="00814A46">
        <w:rPr>
          <w:rFonts w:hint="eastAsia"/>
          <w:b/>
          <w:sz w:val="24"/>
          <w:szCs w:val="24"/>
        </w:rPr>
        <w:t>剧本译介</w:t>
      </w:r>
    </w:p>
    <w:p w:rsidR="003C6199" w:rsidRDefault="003C6199" w:rsidP="000A3DAA"/>
    <w:p w:rsidR="003C6199" w:rsidRDefault="003C6199" w:rsidP="00E071ED">
      <w:pPr>
        <w:rPr>
          <w:rFonts w:ascii="黑体" w:eastAsia="黑体"/>
        </w:rPr>
      </w:pPr>
      <w:r w:rsidRPr="00162B14">
        <w:rPr>
          <w:rFonts w:ascii="黑体" w:eastAsia="黑体" w:hint="eastAsia"/>
        </w:rPr>
        <w:t>命运之轮</w:t>
      </w:r>
      <w:r w:rsidRPr="00162B14">
        <w:rPr>
          <w:rFonts w:ascii="黑体" w:eastAsia="黑体"/>
        </w:rPr>
        <w:t xml:space="preserve">                                      </w:t>
      </w:r>
      <w:r w:rsidRPr="00162B14">
        <w:rPr>
          <w:rFonts w:ascii="黑体" w:eastAsia="黑体" w:hAnsi="宋体"/>
        </w:rPr>
        <w:t xml:space="preserve"> </w:t>
      </w:r>
      <w:r w:rsidRPr="00162B14">
        <w:rPr>
          <w:rFonts w:ascii="黑体" w:eastAsia="黑体" w:hAnsi="宋体" w:hint="eastAsia"/>
          <w:sz w:val="18"/>
          <w:szCs w:val="18"/>
        </w:rPr>
        <w:t>【</w:t>
      </w:r>
      <w:bookmarkStart w:id="1" w:name="OLE_LINK1"/>
      <w:bookmarkStart w:id="2" w:name="OLE_LINK2"/>
      <w:r w:rsidRPr="00162B14">
        <w:rPr>
          <w:rFonts w:ascii="黑体" w:eastAsia="黑体" w:hAnsi="宋体" w:hint="eastAsia"/>
          <w:sz w:val="18"/>
          <w:szCs w:val="18"/>
        </w:rPr>
        <w:t>奥地利】</w:t>
      </w:r>
      <w:r w:rsidRPr="00162B14">
        <w:rPr>
          <w:rFonts w:ascii="黑体" w:eastAsia="黑体" w:hint="eastAsia"/>
        </w:rPr>
        <w:t>维尔</w:t>
      </w:r>
      <w:r w:rsidRPr="00162B14">
        <w:rPr>
          <w:rFonts w:ascii="黑体" w:eastAsia="黑体" w:hAnsi="宋体" w:hint="eastAsia"/>
        </w:rPr>
        <w:t>纳·</w:t>
      </w:r>
      <w:r w:rsidRPr="00162B14">
        <w:rPr>
          <w:rFonts w:ascii="黑体" w:eastAsia="黑体" w:hint="eastAsia"/>
        </w:rPr>
        <w:t>弗里茨</w:t>
      </w:r>
      <w:bookmarkEnd w:id="1"/>
      <w:bookmarkEnd w:id="2"/>
      <w:r w:rsidRPr="00162B14">
        <w:rPr>
          <w:rFonts w:ascii="黑体" w:eastAsia="黑体"/>
        </w:rPr>
        <w:t xml:space="preserve"> </w:t>
      </w:r>
      <w:r w:rsidRPr="00162B14">
        <w:rPr>
          <w:rFonts w:ascii="黑体" w:eastAsia="黑体" w:hint="eastAsia"/>
        </w:rPr>
        <w:t>著</w:t>
      </w:r>
      <w:r w:rsidRPr="00162B14">
        <w:rPr>
          <w:rFonts w:ascii="黑体" w:eastAsia="黑体"/>
        </w:rPr>
        <w:t xml:space="preserve">  </w:t>
      </w:r>
      <w:r w:rsidRPr="00162B14">
        <w:rPr>
          <w:rFonts w:ascii="黑体" w:eastAsia="黑体" w:hint="eastAsia"/>
        </w:rPr>
        <w:t>倪胜</w:t>
      </w:r>
      <w:r w:rsidRPr="00162B14">
        <w:rPr>
          <w:rFonts w:ascii="黑体" w:eastAsia="黑体"/>
        </w:rPr>
        <w:t xml:space="preserve"> </w:t>
      </w:r>
      <w:r w:rsidRPr="00162B14">
        <w:rPr>
          <w:rFonts w:ascii="黑体" w:eastAsia="黑体" w:hint="eastAsia"/>
        </w:rPr>
        <w:t>译</w:t>
      </w:r>
    </w:p>
    <w:p w:rsidR="003C6199" w:rsidRDefault="003C6199" w:rsidP="00E071ED">
      <w:pPr>
        <w:rPr>
          <w:rFonts w:ascii="黑体" w:eastAsia="黑体"/>
        </w:rPr>
      </w:pPr>
    </w:p>
    <w:p w:rsidR="003C6199" w:rsidRDefault="003C6199" w:rsidP="00E071ED">
      <w:pPr>
        <w:rPr>
          <w:rFonts w:ascii="黑体" w:eastAsia="黑体"/>
        </w:rPr>
      </w:pPr>
      <w:r w:rsidRPr="00162B14">
        <w:rPr>
          <w:rFonts w:ascii="黑体" w:eastAsia="黑体" w:hint="eastAsia"/>
        </w:rPr>
        <w:t>一个吉普赛女人的命运</w:t>
      </w:r>
      <w:r>
        <w:rPr>
          <w:rFonts w:ascii="黑体" w:eastAsia="黑体"/>
        </w:rPr>
        <w:t xml:space="preserve">                                                     </w:t>
      </w:r>
      <w:r w:rsidRPr="00162B14">
        <w:rPr>
          <w:rFonts w:ascii="黑体" w:eastAsia="黑体" w:hint="eastAsia"/>
        </w:rPr>
        <w:t>倪</w:t>
      </w:r>
      <w:r>
        <w:rPr>
          <w:rFonts w:ascii="黑体" w:eastAsia="黑体"/>
        </w:rPr>
        <w:t xml:space="preserve">  </w:t>
      </w:r>
      <w:r w:rsidRPr="00162B14">
        <w:rPr>
          <w:rFonts w:ascii="黑体" w:eastAsia="黑体" w:hint="eastAsia"/>
        </w:rPr>
        <w:t>胜</w:t>
      </w:r>
    </w:p>
    <w:p w:rsidR="003C6199" w:rsidRPr="00162B14" w:rsidRDefault="003C6199" w:rsidP="00E071ED">
      <w:pPr>
        <w:rPr>
          <w:rFonts w:ascii="黑体" w:eastAsia="黑体"/>
        </w:rPr>
      </w:pPr>
      <w:r w:rsidRPr="002E3260">
        <w:rPr>
          <w:rFonts w:ascii="黑体" w:eastAsia="黑体"/>
        </w:rPr>
        <w:t>——</w:t>
      </w:r>
      <w:r w:rsidRPr="00162B14">
        <w:rPr>
          <w:rFonts w:ascii="黑体" w:eastAsia="黑体" w:hint="eastAsia"/>
        </w:rPr>
        <w:t>评维尔纳</w:t>
      </w:r>
      <w:r w:rsidRPr="00162B14">
        <w:rPr>
          <w:rFonts w:ascii="黑体" w:hAnsi="宋体"/>
        </w:rPr>
        <w:t>•</w:t>
      </w:r>
      <w:r w:rsidRPr="00162B14">
        <w:rPr>
          <w:rFonts w:ascii="黑体" w:eastAsia="黑体" w:hint="eastAsia"/>
        </w:rPr>
        <w:t>弗里茨的《命运之轮</w:t>
      </w:r>
      <w:r>
        <w:rPr>
          <w:rFonts w:ascii="黑体" w:eastAsia="黑体" w:hint="eastAsia"/>
        </w:rPr>
        <w:t>》</w:t>
      </w:r>
    </w:p>
    <w:p w:rsidR="003C6199" w:rsidRDefault="003C6199" w:rsidP="00E071ED"/>
    <w:p w:rsidR="003C6199" w:rsidRDefault="003C6199" w:rsidP="00EE0CA8">
      <w:r w:rsidRPr="00EE0CA8">
        <w:rPr>
          <w:rFonts w:hint="eastAsia"/>
          <w:b/>
        </w:rPr>
        <w:t>内容摘要：</w:t>
      </w:r>
      <w:r>
        <w:rPr>
          <w:rFonts w:hint="eastAsia"/>
        </w:rPr>
        <w:t>本文简述了德语戏剧《命运之轮》的情节概要，介绍了该剧在国内外上演的情况，并指出这是一部涉及很少人关注的吉普赛人命运题材的优秀剧作。作者当然并不只是希望挖掘过去，他更期盼过去的历史对未来的昭示，过去的惨剧对未来的影响。因此他采取了后现代手法将题材碎片化，令当下的现实与对过去的回忆相互穿插，强调其中的互文性效果。</w:t>
      </w:r>
    </w:p>
    <w:p w:rsidR="003C6199" w:rsidRDefault="003C6199" w:rsidP="00EE0CA8">
      <w:r w:rsidRPr="00EE0CA8">
        <w:rPr>
          <w:rFonts w:hint="eastAsia"/>
          <w:b/>
        </w:rPr>
        <w:t>关</w:t>
      </w:r>
      <w:r>
        <w:rPr>
          <w:b/>
        </w:rPr>
        <w:t xml:space="preserve"> </w:t>
      </w:r>
      <w:r w:rsidRPr="00EE0CA8">
        <w:rPr>
          <w:rFonts w:hint="eastAsia"/>
          <w:b/>
        </w:rPr>
        <w:t>键</w:t>
      </w:r>
      <w:r>
        <w:rPr>
          <w:b/>
        </w:rPr>
        <w:t xml:space="preserve"> </w:t>
      </w:r>
      <w:r w:rsidRPr="00EE0CA8">
        <w:rPr>
          <w:rFonts w:hint="eastAsia"/>
          <w:b/>
        </w:rPr>
        <w:t>词：</w:t>
      </w:r>
      <w:r>
        <w:rPr>
          <w:rFonts w:hint="eastAsia"/>
        </w:rPr>
        <w:t>互文性</w:t>
      </w:r>
      <w:r>
        <w:t xml:space="preserve">  </w:t>
      </w:r>
      <w:r>
        <w:rPr>
          <w:rFonts w:hint="eastAsia"/>
        </w:rPr>
        <w:t>命运之轮</w:t>
      </w:r>
      <w:r>
        <w:t xml:space="preserve">  </w:t>
      </w:r>
      <w:r>
        <w:rPr>
          <w:rFonts w:hint="eastAsia"/>
        </w:rPr>
        <w:t>奥斯维辛集中营</w:t>
      </w:r>
      <w:r>
        <w:t xml:space="preserve">  </w:t>
      </w:r>
      <w:r>
        <w:rPr>
          <w:rFonts w:hint="eastAsia"/>
        </w:rPr>
        <w:t>吉普赛人</w:t>
      </w:r>
    </w:p>
    <w:p w:rsidR="003C6199" w:rsidRPr="00123C03" w:rsidRDefault="003C6199" w:rsidP="00EE0CA8"/>
    <w:sectPr w:rsidR="003C6199" w:rsidRPr="00123C03" w:rsidSect="007825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199" w:rsidRDefault="003C6199" w:rsidP="00D84641">
      <w:r>
        <w:separator/>
      </w:r>
    </w:p>
  </w:endnote>
  <w:endnote w:type="continuationSeparator" w:id="1">
    <w:p w:rsidR="003C6199" w:rsidRDefault="003C6199" w:rsidP="00D846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Times">
    <w:altName w:val="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199" w:rsidRDefault="003C6199" w:rsidP="00D84641">
      <w:r>
        <w:separator/>
      </w:r>
    </w:p>
  </w:footnote>
  <w:footnote w:type="continuationSeparator" w:id="1">
    <w:p w:rsidR="003C6199" w:rsidRDefault="003C6199" w:rsidP="00D846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71ED"/>
    <w:rsid w:val="00074B14"/>
    <w:rsid w:val="00096E03"/>
    <w:rsid w:val="000A0907"/>
    <w:rsid w:val="000A1D95"/>
    <w:rsid w:val="000A3DAA"/>
    <w:rsid w:val="001128E0"/>
    <w:rsid w:val="001154A6"/>
    <w:rsid w:val="00123C03"/>
    <w:rsid w:val="00143CC5"/>
    <w:rsid w:val="00150655"/>
    <w:rsid w:val="00162B14"/>
    <w:rsid w:val="00176D7A"/>
    <w:rsid w:val="00177317"/>
    <w:rsid w:val="0018277A"/>
    <w:rsid w:val="00192793"/>
    <w:rsid w:val="00194378"/>
    <w:rsid w:val="00196E25"/>
    <w:rsid w:val="001A0319"/>
    <w:rsid w:val="001C61F7"/>
    <w:rsid w:val="001D5ED0"/>
    <w:rsid w:val="001E3F26"/>
    <w:rsid w:val="00205385"/>
    <w:rsid w:val="00244A34"/>
    <w:rsid w:val="00253169"/>
    <w:rsid w:val="002817A6"/>
    <w:rsid w:val="002B320A"/>
    <w:rsid w:val="002E3260"/>
    <w:rsid w:val="002E751C"/>
    <w:rsid w:val="00302F24"/>
    <w:rsid w:val="00346C61"/>
    <w:rsid w:val="00356179"/>
    <w:rsid w:val="003653DA"/>
    <w:rsid w:val="00370905"/>
    <w:rsid w:val="003A7999"/>
    <w:rsid w:val="003B27F5"/>
    <w:rsid w:val="003C1ECB"/>
    <w:rsid w:val="003C6199"/>
    <w:rsid w:val="003F61F7"/>
    <w:rsid w:val="0040686F"/>
    <w:rsid w:val="00410260"/>
    <w:rsid w:val="00415E11"/>
    <w:rsid w:val="00420235"/>
    <w:rsid w:val="0043056C"/>
    <w:rsid w:val="00432188"/>
    <w:rsid w:val="004339DF"/>
    <w:rsid w:val="004628C7"/>
    <w:rsid w:val="00466240"/>
    <w:rsid w:val="00486DC2"/>
    <w:rsid w:val="004C4CEC"/>
    <w:rsid w:val="004D4663"/>
    <w:rsid w:val="004F4934"/>
    <w:rsid w:val="00500E00"/>
    <w:rsid w:val="00517685"/>
    <w:rsid w:val="00535606"/>
    <w:rsid w:val="005666F3"/>
    <w:rsid w:val="005B2FAE"/>
    <w:rsid w:val="005C540B"/>
    <w:rsid w:val="005C5D63"/>
    <w:rsid w:val="005D051F"/>
    <w:rsid w:val="005E2D7F"/>
    <w:rsid w:val="005F0650"/>
    <w:rsid w:val="005F1350"/>
    <w:rsid w:val="00633EE4"/>
    <w:rsid w:val="006639CD"/>
    <w:rsid w:val="0067066A"/>
    <w:rsid w:val="00671189"/>
    <w:rsid w:val="006B20A7"/>
    <w:rsid w:val="006C34B1"/>
    <w:rsid w:val="006D1ADD"/>
    <w:rsid w:val="006F07E0"/>
    <w:rsid w:val="006F7E9F"/>
    <w:rsid w:val="00705328"/>
    <w:rsid w:val="007318BF"/>
    <w:rsid w:val="00741309"/>
    <w:rsid w:val="00747A8E"/>
    <w:rsid w:val="00767E32"/>
    <w:rsid w:val="007707E3"/>
    <w:rsid w:val="007825CC"/>
    <w:rsid w:val="007B11B4"/>
    <w:rsid w:val="007F0EE1"/>
    <w:rsid w:val="007F1523"/>
    <w:rsid w:val="00800227"/>
    <w:rsid w:val="00812674"/>
    <w:rsid w:val="00812A06"/>
    <w:rsid w:val="00814A46"/>
    <w:rsid w:val="008246CF"/>
    <w:rsid w:val="00825B78"/>
    <w:rsid w:val="008411FE"/>
    <w:rsid w:val="008829F0"/>
    <w:rsid w:val="0088708B"/>
    <w:rsid w:val="008A48FF"/>
    <w:rsid w:val="008D1BEC"/>
    <w:rsid w:val="008E2310"/>
    <w:rsid w:val="008E630C"/>
    <w:rsid w:val="00984FB1"/>
    <w:rsid w:val="00990222"/>
    <w:rsid w:val="009918B5"/>
    <w:rsid w:val="009B7C91"/>
    <w:rsid w:val="00A26DAC"/>
    <w:rsid w:val="00A465BB"/>
    <w:rsid w:val="00A55A51"/>
    <w:rsid w:val="00A71D31"/>
    <w:rsid w:val="00A752A1"/>
    <w:rsid w:val="00AA2D8D"/>
    <w:rsid w:val="00AB09C6"/>
    <w:rsid w:val="00AB266A"/>
    <w:rsid w:val="00AE0D17"/>
    <w:rsid w:val="00B259B8"/>
    <w:rsid w:val="00B32CB0"/>
    <w:rsid w:val="00B502A7"/>
    <w:rsid w:val="00B50D0C"/>
    <w:rsid w:val="00B839E9"/>
    <w:rsid w:val="00BA5FAA"/>
    <w:rsid w:val="00BB207B"/>
    <w:rsid w:val="00BB20CB"/>
    <w:rsid w:val="00BB31A9"/>
    <w:rsid w:val="00BD144F"/>
    <w:rsid w:val="00C3095D"/>
    <w:rsid w:val="00C73F36"/>
    <w:rsid w:val="00CA7855"/>
    <w:rsid w:val="00CB0493"/>
    <w:rsid w:val="00CC42A7"/>
    <w:rsid w:val="00CC73D1"/>
    <w:rsid w:val="00CF2C81"/>
    <w:rsid w:val="00CF68A8"/>
    <w:rsid w:val="00D82539"/>
    <w:rsid w:val="00D83639"/>
    <w:rsid w:val="00D84641"/>
    <w:rsid w:val="00D96467"/>
    <w:rsid w:val="00D97D1D"/>
    <w:rsid w:val="00DB78F9"/>
    <w:rsid w:val="00DE3E2A"/>
    <w:rsid w:val="00DF17B5"/>
    <w:rsid w:val="00DF30BA"/>
    <w:rsid w:val="00E071ED"/>
    <w:rsid w:val="00E12EDC"/>
    <w:rsid w:val="00E54BE9"/>
    <w:rsid w:val="00E92133"/>
    <w:rsid w:val="00EB5E8A"/>
    <w:rsid w:val="00EC5ADE"/>
    <w:rsid w:val="00EE0CA8"/>
    <w:rsid w:val="00F12A03"/>
    <w:rsid w:val="00F2652A"/>
    <w:rsid w:val="00F706EC"/>
    <w:rsid w:val="00FA3C41"/>
    <w:rsid w:val="00FC16A2"/>
    <w:rsid w:val="00FE20D2"/>
    <w:rsid w:val="00FF73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CC"/>
    <w:pPr>
      <w:widowControl w:val="0"/>
      <w:jc w:val="both"/>
    </w:pPr>
  </w:style>
  <w:style w:type="paragraph" w:styleId="Heading2">
    <w:name w:val="heading 2"/>
    <w:basedOn w:val="Normal"/>
    <w:next w:val="Normal"/>
    <w:link w:val="Heading2Char"/>
    <w:uiPriority w:val="99"/>
    <w:qFormat/>
    <w:rsid w:val="006F07E0"/>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F07E0"/>
    <w:rPr>
      <w:rFonts w:ascii="Cambria" w:eastAsia="宋体" w:hAnsi="Cambria" w:cs="Times New Roman"/>
      <w:b/>
      <w:bCs/>
      <w:sz w:val="32"/>
      <w:szCs w:val="32"/>
    </w:rPr>
  </w:style>
  <w:style w:type="paragraph" w:styleId="FootnoteText">
    <w:name w:val="footnote text"/>
    <w:basedOn w:val="Normal"/>
    <w:link w:val="FootnoteTextChar"/>
    <w:uiPriority w:val="99"/>
    <w:semiHidden/>
    <w:rsid w:val="00D84641"/>
    <w:pPr>
      <w:snapToGrid w:val="0"/>
      <w:jc w:val="left"/>
    </w:pPr>
    <w:rPr>
      <w:rFonts w:ascii="Cambria" w:hAnsi="Cambria"/>
      <w:sz w:val="18"/>
      <w:szCs w:val="18"/>
    </w:rPr>
  </w:style>
  <w:style w:type="character" w:customStyle="1" w:styleId="FootnoteTextChar">
    <w:name w:val="Footnote Text Char"/>
    <w:basedOn w:val="DefaultParagraphFont"/>
    <w:link w:val="FootnoteText"/>
    <w:uiPriority w:val="99"/>
    <w:semiHidden/>
    <w:locked/>
    <w:rsid w:val="00D84641"/>
    <w:rPr>
      <w:rFonts w:ascii="Cambria" w:eastAsia="宋体" w:hAnsi="Cambria" w:cs="Times New Roman"/>
      <w:sz w:val="18"/>
      <w:szCs w:val="18"/>
    </w:rPr>
  </w:style>
  <w:style w:type="character" w:styleId="FootnoteReference">
    <w:name w:val="footnote reference"/>
    <w:basedOn w:val="DefaultParagraphFont"/>
    <w:uiPriority w:val="99"/>
    <w:semiHidden/>
    <w:rsid w:val="00D84641"/>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311</TotalTime>
  <Pages>3</Pages>
  <Words>570</Words>
  <Characters>3252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91</cp:revision>
  <cp:lastPrinted>2014-09-10T05:30:00Z</cp:lastPrinted>
  <dcterms:created xsi:type="dcterms:W3CDTF">2014-07-14T02:12:00Z</dcterms:created>
  <dcterms:modified xsi:type="dcterms:W3CDTF">2014-10-16T02:54:00Z</dcterms:modified>
</cp:coreProperties>
</file>